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E01F1" w14:textId="77777777" w:rsidR="003A5484" w:rsidRDefault="003A5484" w:rsidP="000F6676">
      <w:pPr>
        <w:widowControl/>
        <w:adjustRightInd w:val="0"/>
        <w:snapToGrid w:val="0"/>
        <w:spacing w:line="480" w:lineRule="auto"/>
        <w:rPr>
          <w:rFonts w:eastAsia="MS Mincho"/>
          <w:b/>
          <w:bCs/>
          <w:color w:val="auto"/>
          <w:szCs w:val="24"/>
          <w:lang w:eastAsia="ja-JP"/>
        </w:rPr>
      </w:pPr>
      <w:r w:rsidRPr="00A30FFB">
        <w:rPr>
          <w:rFonts w:eastAsia="MS Mincho"/>
          <w:b/>
          <w:bCs/>
          <w:color w:val="auto"/>
          <w:szCs w:val="24"/>
          <w:lang w:eastAsia="ja-JP"/>
        </w:rPr>
        <w:t>Supplementary Figures</w:t>
      </w:r>
      <w:r>
        <w:rPr>
          <w:rFonts w:eastAsia="MS Mincho"/>
          <w:b/>
          <w:bCs/>
          <w:color w:val="auto"/>
          <w:szCs w:val="24"/>
          <w:lang w:eastAsia="ja-JP"/>
        </w:rPr>
        <w:t xml:space="preserve"> and Legends</w:t>
      </w:r>
    </w:p>
    <w:p w14:paraId="1C2D3C91" w14:textId="669DBAB0" w:rsidR="003A5484" w:rsidRDefault="003A5484" w:rsidP="000F6676">
      <w:pPr>
        <w:widowControl/>
        <w:adjustRightInd w:val="0"/>
        <w:snapToGrid w:val="0"/>
        <w:spacing w:line="480" w:lineRule="auto"/>
        <w:rPr>
          <w:rFonts w:eastAsia="MS Mincho"/>
          <w:b/>
          <w:bCs/>
          <w:color w:val="auto"/>
          <w:szCs w:val="24"/>
          <w:lang w:eastAsia="ja-JP"/>
        </w:rPr>
      </w:pPr>
      <w:r>
        <w:rPr>
          <w:noProof/>
        </w:rPr>
        <w:drawing>
          <wp:inline distT="0" distB="0" distL="0" distR="0" wp14:anchorId="23D8B25E" wp14:editId="4B3F7C17">
            <wp:extent cx="5274310" cy="524319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243195"/>
                    </a:xfrm>
                    <a:prstGeom prst="rect">
                      <a:avLst/>
                    </a:prstGeom>
                    <a:noFill/>
                    <a:ln>
                      <a:noFill/>
                    </a:ln>
                  </pic:spPr>
                </pic:pic>
              </a:graphicData>
            </a:graphic>
          </wp:inline>
        </w:drawing>
      </w:r>
      <w:r>
        <w:rPr>
          <w:rFonts w:eastAsia="MS Mincho"/>
          <w:b/>
          <w:bCs/>
          <w:color w:val="auto"/>
          <w:szCs w:val="24"/>
          <w:lang w:eastAsia="ja-JP"/>
        </w:rPr>
        <w:t>Figure</w:t>
      </w:r>
      <w:r w:rsidRPr="00FF73C9">
        <w:rPr>
          <w:rFonts w:eastAsia="MS Mincho"/>
          <w:b/>
          <w:bCs/>
          <w:color w:val="auto"/>
          <w:szCs w:val="24"/>
          <w:lang w:eastAsia="ja-JP"/>
        </w:rPr>
        <w:t xml:space="preserve"> S1. Brain wide mapping of microglial distribution and dynamics after CLP </w:t>
      </w:r>
    </w:p>
    <w:p w14:paraId="0E793B21" w14:textId="77777777" w:rsidR="003A5484" w:rsidRDefault="003A5484" w:rsidP="000F6676">
      <w:pPr>
        <w:widowControl/>
        <w:adjustRightInd w:val="0"/>
        <w:snapToGrid w:val="0"/>
        <w:spacing w:line="480" w:lineRule="auto"/>
        <w:rPr>
          <w:rFonts w:eastAsia="MS Mincho"/>
          <w:color w:val="auto"/>
          <w:szCs w:val="24"/>
          <w:lang w:eastAsia="ja-JP"/>
        </w:rPr>
      </w:pPr>
      <w:r w:rsidRPr="00FF73C9">
        <w:rPr>
          <w:rFonts w:eastAsia="MS Mincho"/>
          <w:color w:val="auto"/>
          <w:szCs w:val="24"/>
          <w:lang w:eastAsia="ja-JP"/>
        </w:rPr>
        <w:t xml:space="preserve">(A) Pseudocolor heat map of Iba1 immunostaining in hypothalamic nuclei, cortex, hippocampus, and thalamus from Sham and CLP1d. Brightness encodes Iba1 signal intensity according to the color scale. Region boundaries are outlined for orientation. Scale bar, 100 µm. (B) Quantification of Iba1⁺ cell density per mm² in the indicated regions from Sham and CLP1d. N = 4-8 per region. (C) Time-lapse imaging (0–30 min) of Tmem119-tdTomato microglia in acute ARC slices from Sham and CLP1d; arrowheads mark dynamic process movements. (D) Examples of three ARC microglial morphotypes used for classification: Ramified, Bushy, and Amoeboid. (E–F) Spatial </w:t>
      </w:r>
      <w:r w:rsidRPr="00FF73C9">
        <w:rPr>
          <w:rFonts w:eastAsia="MS Mincho"/>
          <w:color w:val="auto"/>
          <w:szCs w:val="24"/>
          <w:lang w:eastAsia="ja-JP"/>
        </w:rPr>
        <w:lastRenderedPageBreak/>
        <w:t>maps of morphotype distribution in Sham and CLP1d (E) and proportions of the three morphotypes (F, N = 6-7). (G) Representative Iba1 immunostaining of microglia in cortex and hippocampus from Sham and CLP1d with higher-magnification views. Scale bars, 50 µm (overview) and 10 µm (zoom). (H and I) Quantification of Cortical and hippocampal microglia: process diameter (h) and total process length per cell (i). N = 4-5. Statistics Data are shown as mean ± SEM. (B, H and I) Student’s t test for each region. * P &lt; 0.05, ** P &lt; 0.01.</w:t>
      </w:r>
      <w:r>
        <w:rPr>
          <w:rFonts w:eastAsia="MS Mincho"/>
          <w:color w:val="auto"/>
          <w:szCs w:val="24"/>
          <w:lang w:eastAsia="ja-JP"/>
        </w:rPr>
        <w:t xml:space="preserve"> </w:t>
      </w:r>
    </w:p>
    <w:p w14:paraId="5BDE1A28" w14:textId="77777777" w:rsidR="003A5484" w:rsidRDefault="003A5484" w:rsidP="000F6676">
      <w:pPr>
        <w:widowControl/>
        <w:adjustRightInd w:val="0"/>
        <w:snapToGrid w:val="0"/>
        <w:spacing w:line="480" w:lineRule="auto"/>
        <w:rPr>
          <w:rFonts w:eastAsia="MS Mincho"/>
          <w:color w:val="auto"/>
          <w:szCs w:val="24"/>
          <w:lang w:eastAsia="ja-JP"/>
        </w:rPr>
      </w:pPr>
    </w:p>
    <w:p w14:paraId="729E6112" w14:textId="77777777" w:rsidR="003A5484" w:rsidRDefault="003A5484" w:rsidP="000F6676">
      <w:pPr>
        <w:widowControl/>
        <w:adjustRightInd w:val="0"/>
        <w:snapToGrid w:val="0"/>
        <w:spacing w:line="480" w:lineRule="auto"/>
      </w:pPr>
      <w:r>
        <w:rPr>
          <w:rFonts w:eastAsia="MS Mincho"/>
          <w:noProof/>
          <w:color w:val="auto"/>
          <w:szCs w:val="24"/>
          <w:lang w:eastAsia="ja-JP"/>
        </w:rPr>
        <w:drawing>
          <wp:inline distT="0" distB="0" distL="0" distR="0" wp14:anchorId="5D88642E" wp14:editId="54783325">
            <wp:extent cx="5266690" cy="3445510"/>
            <wp:effectExtent l="0" t="0" r="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6690" cy="3445510"/>
                    </a:xfrm>
                    <a:prstGeom prst="rect">
                      <a:avLst/>
                    </a:prstGeom>
                    <a:noFill/>
                    <a:ln>
                      <a:noFill/>
                    </a:ln>
                  </pic:spPr>
                </pic:pic>
              </a:graphicData>
            </a:graphic>
          </wp:inline>
        </w:drawing>
      </w:r>
      <w:r w:rsidRPr="00FF73C9">
        <w:t xml:space="preserve"> </w:t>
      </w:r>
    </w:p>
    <w:p w14:paraId="40FEE900" w14:textId="2BB184A4" w:rsidR="003A5484" w:rsidRPr="00FF73C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FF73C9">
        <w:rPr>
          <w:rFonts w:eastAsia="MS Mincho"/>
          <w:b/>
          <w:bCs/>
          <w:color w:val="auto"/>
          <w:szCs w:val="24"/>
          <w:lang w:eastAsia="ja-JP"/>
        </w:rPr>
        <w:t xml:space="preserve"> S2. Time course of systemic and hypothalamic inflammatory responses after CLP</w:t>
      </w:r>
    </w:p>
    <w:p w14:paraId="0E3D696A" w14:textId="77777777" w:rsidR="003A5484" w:rsidRDefault="003A5484" w:rsidP="000F6676">
      <w:pPr>
        <w:widowControl/>
        <w:adjustRightInd w:val="0"/>
        <w:snapToGrid w:val="0"/>
        <w:spacing w:line="480" w:lineRule="auto"/>
        <w:rPr>
          <w:rFonts w:eastAsia="MS Mincho"/>
          <w:color w:val="auto"/>
          <w:szCs w:val="24"/>
          <w:lang w:eastAsia="ja-JP"/>
        </w:rPr>
      </w:pPr>
      <w:r w:rsidRPr="00FF73C9">
        <w:rPr>
          <w:rFonts w:eastAsia="MS Mincho"/>
          <w:color w:val="auto"/>
          <w:szCs w:val="24"/>
          <w:lang w:eastAsia="ja-JP"/>
        </w:rPr>
        <w:t xml:space="preserve">(A) Serum IL-1β, IL-6, and TNF-α levels at the indicated hours after CLP or Sham. N = 4-8. (B) qPCR analysis of hypothalamic </w:t>
      </w:r>
      <w:r w:rsidRPr="00FF73C9">
        <w:rPr>
          <w:rFonts w:eastAsia="MS Mincho"/>
          <w:i/>
          <w:iCs/>
          <w:color w:val="auto"/>
          <w:szCs w:val="24"/>
          <w:lang w:eastAsia="ja-JP"/>
        </w:rPr>
        <w:t>Il1b</w:t>
      </w:r>
      <w:r w:rsidRPr="00FF73C9">
        <w:rPr>
          <w:rFonts w:eastAsia="MS Mincho"/>
          <w:color w:val="auto"/>
          <w:szCs w:val="24"/>
          <w:lang w:eastAsia="ja-JP"/>
        </w:rPr>
        <w:t xml:space="preserve">, </w:t>
      </w:r>
      <w:r w:rsidRPr="00FF73C9">
        <w:rPr>
          <w:rFonts w:eastAsia="MS Mincho"/>
          <w:i/>
          <w:iCs/>
          <w:color w:val="auto"/>
          <w:szCs w:val="24"/>
          <w:lang w:eastAsia="ja-JP"/>
        </w:rPr>
        <w:t>Il6</w:t>
      </w:r>
      <w:r w:rsidRPr="00FF73C9">
        <w:rPr>
          <w:rFonts w:eastAsia="MS Mincho"/>
          <w:color w:val="auto"/>
          <w:szCs w:val="24"/>
          <w:lang w:eastAsia="ja-JP"/>
        </w:rPr>
        <w:t>, and</w:t>
      </w:r>
      <w:r w:rsidRPr="00FF73C9">
        <w:rPr>
          <w:rFonts w:eastAsia="MS Mincho"/>
          <w:i/>
          <w:iCs/>
          <w:color w:val="auto"/>
          <w:szCs w:val="24"/>
          <w:lang w:eastAsia="ja-JP"/>
        </w:rPr>
        <w:t xml:space="preserve"> Tnf</w:t>
      </w:r>
      <w:r w:rsidRPr="00FF73C9">
        <w:rPr>
          <w:rFonts w:eastAsia="MS Mincho"/>
          <w:color w:val="auto"/>
          <w:szCs w:val="24"/>
          <w:lang w:eastAsia="ja-JP"/>
        </w:rPr>
        <w:t xml:space="preserve"> mRNA across time points, normalized to Gapdh. N = 5-6. Data are shown as mean ± SEM. (A) two-way ANOVA. (B) one-way ANOVA. ns, not significant; * P &lt; 0.05, ** P &lt; 0.01, *** P &lt; 0.001.</w:t>
      </w:r>
    </w:p>
    <w:p w14:paraId="6501B4C3" w14:textId="77777777" w:rsidR="003A5484" w:rsidRDefault="003A5484" w:rsidP="000F6676">
      <w:pPr>
        <w:widowControl/>
        <w:adjustRightInd w:val="0"/>
        <w:snapToGrid w:val="0"/>
        <w:spacing w:line="480" w:lineRule="auto"/>
        <w:rPr>
          <w:rFonts w:eastAsia="MS Mincho"/>
          <w:color w:val="auto"/>
          <w:szCs w:val="24"/>
          <w:lang w:eastAsia="ja-JP"/>
        </w:rPr>
      </w:pPr>
      <w:r>
        <w:rPr>
          <w:rFonts w:eastAsia="MS Mincho"/>
          <w:noProof/>
          <w:color w:val="auto"/>
          <w:szCs w:val="24"/>
          <w:lang w:eastAsia="ja-JP"/>
        </w:rPr>
        <w:lastRenderedPageBreak/>
        <w:drawing>
          <wp:inline distT="0" distB="0" distL="0" distR="0" wp14:anchorId="224EE4A4" wp14:editId="47A62505">
            <wp:extent cx="5369773" cy="3818534"/>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70454" cy="3819018"/>
                    </a:xfrm>
                    <a:prstGeom prst="rect">
                      <a:avLst/>
                    </a:prstGeom>
                    <a:noFill/>
                    <a:ln>
                      <a:noFill/>
                    </a:ln>
                  </pic:spPr>
                </pic:pic>
              </a:graphicData>
            </a:graphic>
          </wp:inline>
        </w:drawing>
      </w:r>
    </w:p>
    <w:p w14:paraId="0D8091F5" w14:textId="1F4A302F" w:rsidR="003A5484" w:rsidRPr="00FF73C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FF73C9">
        <w:rPr>
          <w:rFonts w:eastAsia="MS Mincho"/>
          <w:b/>
          <w:bCs/>
          <w:color w:val="auto"/>
          <w:szCs w:val="24"/>
          <w:lang w:eastAsia="ja-JP"/>
        </w:rPr>
        <w:t xml:space="preserve"> S3. Limited immune cell entry into ARC parenchyma at CLP1d </w:t>
      </w:r>
    </w:p>
    <w:p w14:paraId="186C13D0" w14:textId="77777777" w:rsidR="003A5484" w:rsidRDefault="003A5484" w:rsidP="000F6676">
      <w:pPr>
        <w:widowControl/>
        <w:adjustRightInd w:val="0"/>
        <w:snapToGrid w:val="0"/>
        <w:spacing w:line="480" w:lineRule="auto"/>
        <w:rPr>
          <w:rFonts w:eastAsia="MS Mincho"/>
          <w:color w:val="auto"/>
          <w:szCs w:val="24"/>
          <w:lang w:eastAsia="ja-JP"/>
        </w:rPr>
      </w:pPr>
      <w:r w:rsidRPr="00FF73C9">
        <w:rPr>
          <w:rFonts w:eastAsia="MS Mincho"/>
          <w:color w:val="auto"/>
          <w:szCs w:val="24"/>
          <w:lang w:eastAsia="ja-JP"/>
        </w:rPr>
        <w:t>(A–C) Immunostaining of ARC region from Sham and CLP1d mice showing Iba1 (green) and DAPI (blue) with CD206 (A), MPO (B), or F4/80 (C) in red. Arrowheads indicate immunopositive cells. Scale bars, 100 µm. (D, E) Quantification of CD206⁺, F4/80⁺, and MPO⁺ cells per section in ARC parenchyma (D) and in ARC meningeal region (E). N = 5-6. Data are shown as mean ± SEM. (D, E) Unpaired two tailed Student’s t test for each marker. ns, not significant. *P &lt; 0.05, **P &lt; 0.01, ***P &lt; 0.001.</w:t>
      </w:r>
    </w:p>
    <w:p w14:paraId="0540C1B2" w14:textId="77777777" w:rsidR="003A5484" w:rsidRDefault="003A5484" w:rsidP="000F6676">
      <w:pPr>
        <w:widowControl/>
        <w:adjustRightInd w:val="0"/>
        <w:snapToGrid w:val="0"/>
        <w:spacing w:line="480" w:lineRule="auto"/>
        <w:rPr>
          <w:rFonts w:eastAsia="MS Mincho"/>
          <w:color w:val="auto"/>
          <w:szCs w:val="24"/>
          <w:lang w:eastAsia="ja-JP"/>
        </w:rPr>
      </w:pPr>
    </w:p>
    <w:p w14:paraId="205386CF" w14:textId="77777777" w:rsidR="003A5484" w:rsidRDefault="003A5484" w:rsidP="000F6676">
      <w:pPr>
        <w:widowControl/>
        <w:adjustRightInd w:val="0"/>
        <w:snapToGrid w:val="0"/>
        <w:spacing w:line="480" w:lineRule="auto"/>
        <w:rPr>
          <w:rFonts w:eastAsia="MS Mincho"/>
          <w:color w:val="auto"/>
          <w:szCs w:val="24"/>
          <w:lang w:eastAsia="ja-JP"/>
        </w:rPr>
      </w:pPr>
      <w:r>
        <w:rPr>
          <w:noProof/>
        </w:rPr>
        <w:lastRenderedPageBreak/>
        <w:drawing>
          <wp:inline distT="0" distB="0" distL="0" distR="0" wp14:anchorId="4BE7088F" wp14:editId="79402452">
            <wp:extent cx="5500237" cy="3664618"/>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6236" cy="3668615"/>
                    </a:xfrm>
                    <a:prstGeom prst="rect">
                      <a:avLst/>
                    </a:prstGeom>
                    <a:noFill/>
                    <a:ln>
                      <a:noFill/>
                    </a:ln>
                  </pic:spPr>
                </pic:pic>
              </a:graphicData>
            </a:graphic>
          </wp:inline>
        </w:drawing>
      </w:r>
    </w:p>
    <w:p w14:paraId="3F676F11" w14:textId="01724B9C" w:rsidR="003A5484" w:rsidRPr="009918D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9918D9">
        <w:rPr>
          <w:rFonts w:eastAsia="MS Mincho"/>
          <w:b/>
          <w:bCs/>
          <w:color w:val="auto"/>
          <w:szCs w:val="24"/>
          <w:lang w:eastAsia="ja-JP"/>
        </w:rPr>
        <w:t xml:space="preserve"> S4. Single nucleus RNA sequencing annotation of the mediobasal hypothalamus</w:t>
      </w:r>
    </w:p>
    <w:p w14:paraId="7E1CBE08" w14:textId="77777777" w:rsidR="003A5484" w:rsidRDefault="003A5484" w:rsidP="000F6676">
      <w:pPr>
        <w:widowControl/>
        <w:adjustRightInd w:val="0"/>
        <w:snapToGrid w:val="0"/>
        <w:spacing w:line="480" w:lineRule="auto"/>
        <w:rPr>
          <w:rFonts w:eastAsia="MS Mincho"/>
          <w:color w:val="auto"/>
          <w:szCs w:val="24"/>
          <w:lang w:eastAsia="ja-JP"/>
        </w:rPr>
      </w:pPr>
      <w:r w:rsidRPr="009918D9">
        <w:rPr>
          <w:rFonts w:eastAsia="MS Mincho"/>
          <w:color w:val="auto"/>
          <w:szCs w:val="24"/>
          <w:lang w:eastAsia="ja-JP"/>
        </w:rPr>
        <w:t>(A) UMAP of all nuclei showing major cell types in the mediobasal hypothalamus based on marker gene annotation. (B) Feature plots of canonical Agrp neuron markers (</w:t>
      </w:r>
      <w:r w:rsidRPr="009918D9">
        <w:rPr>
          <w:rFonts w:eastAsia="MS Mincho"/>
          <w:i/>
          <w:iCs/>
          <w:color w:val="auto"/>
          <w:szCs w:val="24"/>
          <w:lang w:eastAsia="ja-JP"/>
        </w:rPr>
        <w:t>Agrp</w:t>
      </w:r>
      <w:r w:rsidRPr="009918D9">
        <w:rPr>
          <w:rFonts w:eastAsia="MS Mincho"/>
          <w:color w:val="auto"/>
          <w:szCs w:val="24"/>
          <w:lang w:eastAsia="ja-JP"/>
        </w:rPr>
        <w:t xml:space="preserve">, </w:t>
      </w:r>
      <w:r w:rsidRPr="009918D9">
        <w:rPr>
          <w:rFonts w:eastAsia="MS Mincho"/>
          <w:i/>
          <w:iCs/>
          <w:color w:val="auto"/>
          <w:szCs w:val="24"/>
          <w:lang w:eastAsia="ja-JP"/>
        </w:rPr>
        <w:t>Lepr</w:t>
      </w:r>
      <w:r w:rsidRPr="009918D9">
        <w:rPr>
          <w:rFonts w:eastAsia="MS Mincho"/>
          <w:color w:val="auto"/>
          <w:szCs w:val="24"/>
          <w:lang w:eastAsia="ja-JP"/>
        </w:rPr>
        <w:t xml:space="preserve">, and </w:t>
      </w:r>
      <w:r w:rsidRPr="009918D9">
        <w:rPr>
          <w:rFonts w:eastAsia="MS Mincho"/>
          <w:i/>
          <w:iCs/>
          <w:color w:val="auto"/>
          <w:szCs w:val="24"/>
          <w:lang w:eastAsia="ja-JP"/>
        </w:rPr>
        <w:t>Npy</w:t>
      </w:r>
      <w:r w:rsidRPr="009918D9">
        <w:rPr>
          <w:rFonts w:eastAsia="MS Mincho"/>
          <w:color w:val="auto"/>
          <w:szCs w:val="24"/>
          <w:lang w:eastAsia="ja-JP"/>
        </w:rPr>
        <w:t>). (C) Module score of a myeloid signature (</w:t>
      </w:r>
      <w:r w:rsidRPr="009918D9">
        <w:rPr>
          <w:rFonts w:eastAsia="MS Mincho"/>
          <w:i/>
          <w:iCs/>
          <w:color w:val="auto"/>
          <w:szCs w:val="24"/>
          <w:lang w:eastAsia="ja-JP"/>
        </w:rPr>
        <w:t>Csf1r</w:t>
      </w:r>
      <w:r w:rsidRPr="009918D9">
        <w:rPr>
          <w:rFonts w:eastAsia="MS Mincho"/>
          <w:color w:val="auto"/>
          <w:szCs w:val="24"/>
          <w:lang w:eastAsia="ja-JP"/>
        </w:rPr>
        <w:t xml:space="preserve">, </w:t>
      </w:r>
      <w:r w:rsidRPr="009918D9">
        <w:rPr>
          <w:rFonts w:eastAsia="MS Mincho"/>
          <w:i/>
          <w:iCs/>
          <w:color w:val="auto"/>
          <w:szCs w:val="24"/>
          <w:lang w:eastAsia="ja-JP"/>
        </w:rPr>
        <w:t>Hexb</w:t>
      </w:r>
      <w:r w:rsidRPr="009918D9">
        <w:rPr>
          <w:rFonts w:eastAsia="MS Mincho"/>
          <w:color w:val="auto"/>
          <w:szCs w:val="24"/>
          <w:lang w:eastAsia="ja-JP"/>
        </w:rPr>
        <w:t xml:space="preserve">, and </w:t>
      </w:r>
      <w:r w:rsidRPr="009918D9">
        <w:rPr>
          <w:rFonts w:eastAsia="MS Mincho"/>
          <w:i/>
          <w:iCs/>
          <w:color w:val="auto"/>
          <w:szCs w:val="24"/>
          <w:lang w:eastAsia="ja-JP"/>
        </w:rPr>
        <w:t>Cx3cr1</w:t>
      </w:r>
      <w:r w:rsidRPr="009918D9">
        <w:rPr>
          <w:rFonts w:eastAsia="MS Mincho"/>
          <w:color w:val="auto"/>
          <w:szCs w:val="24"/>
          <w:lang w:eastAsia="ja-JP"/>
        </w:rPr>
        <w:t>) projected onto the global UMAP. (D) Violin plots showing log normalized expression of representative markers across myeloid subclusters (0 to 5), including microglial markers (</w:t>
      </w:r>
      <w:r w:rsidRPr="009918D9">
        <w:rPr>
          <w:rFonts w:eastAsia="MS Mincho"/>
          <w:i/>
          <w:iCs/>
          <w:color w:val="auto"/>
          <w:szCs w:val="24"/>
          <w:lang w:eastAsia="ja-JP"/>
        </w:rPr>
        <w:t>Fcrls</w:t>
      </w:r>
      <w:r w:rsidRPr="009918D9">
        <w:rPr>
          <w:rFonts w:eastAsia="MS Mincho"/>
          <w:color w:val="auto"/>
          <w:szCs w:val="24"/>
          <w:lang w:eastAsia="ja-JP"/>
        </w:rPr>
        <w:t xml:space="preserve">, </w:t>
      </w:r>
      <w:r w:rsidRPr="009918D9">
        <w:rPr>
          <w:rFonts w:eastAsia="MS Mincho"/>
          <w:i/>
          <w:iCs/>
          <w:color w:val="auto"/>
          <w:szCs w:val="24"/>
          <w:lang w:eastAsia="ja-JP"/>
        </w:rPr>
        <w:t>Gpr34</w:t>
      </w:r>
      <w:r w:rsidRPr="009918D9">
        <w:rPr>
          <w:rFonts w:eastAsia="MS Mincho"/>
          <w:color w:val="auto"/>
          <w:szCs w:val="24"/>
          <w:lang w:eastAsia="ja-JP"/>
        </w:rPr>
        <w:t xml:space="preserve">, </w:t>
      </w:r>
      <w:r w:rsidRPr="009918D9">
        <w:rPr>
          <w:rFonts w:eastAsia="MS Mincho"/>
          <w:i/>
          <w:iCs/>
          <w:color w:val="auto"/>
          <w:szCs w:val="24"/>
          <w:lang w:eastAsia="ja-JP"/>
        </w:rPr>
        <w:t>Siglech</w:t>
      </w:r>
      <w:r w:rsidRPr="009918D9">
        <w:rPr>
          <w:rFonts w:eastAsia="MS Mincho"/>
          <w:color w:val="auto"/>
          <w:szCs w:val="24"/>
          <w:lang w:eastAsia="ja-JP"/>
        </w:rPr>
        <w:t xml:space="preserve">, </w:t>
      </w:r>
      <w:r w:rsidRPr="009918D9">
        <w:rPr>
          <w:rFonts w:eastAsia="MS Mincho"/>
          <w:i/>
          <w:iCs/>
          <w:color w:val="auto"/>
          <w:szCs w:val="24"/>
          <w:lang w:eastAsia="ja-JP"/>
        </w:rPr>
        <w:t>Tmem119</w:t>
      </w:r>
      <w:r w:rsidRPr="009918D9">
        <w:rPr>
          <w:rFonts w:eastAsia="MS Mincho"/>
          <w:color w:val="auto"/>
          <w:szCs w:val="24"/>
          <w:lang w:eastAsia="ja-JP"/>
        </w:rPr>
        <w:t>), BAM associated markers (</w:t>
      </w:r>
      <w:r w:rsidRPr="009918D9">
        <w:rPr>
          <w:rFonts w:eastAsia="MS Mincho"/>
          <w:i/>
          <w:iCs/>
          <w:color w:val="auto"/>
          <w:szCs w:val="24"/>
          <w:lang w:eastAsia="ja-JP"/>
        </w:rPr>
        <w:t>Axl</w:t>
      </w:r>
      <w:r w:rsidRPr="009918D9">
        <w:rPr>
          <w:rFonts w:eastAsia="MS Mincho"/>
          <w:color w:val="auto"/>
          <w:szCs w:val="24"/>
          <w:lang w:eastAsia="ja-JP"/>
        </w:rPr>
        <w:t xml:space="preserve">, </w:t>
      </w:r>
      <w:r w:rsidRPr="009918D9">
        <w:rPr>
          <w:rFonts w:eastAsia="MS Mincho"/>
          <w:i/>
          <w:iCs/>
          <w:color w:val="auto"/>
          <w:szCs w:val="24"/>
          <w:lang w:eastAsia="ja-JP"/>
        </w:rPr>
        <w:t>Cd163</w:t>
      </w:r>
      <w:r w:rsidRPr="009918D9">
        <w:rPr>
          <w:rFonts w:eastAsia="MS Mincho"/>
          <w:color w:val="auto"/>
          <w:szCs w:val="24"/>
          <w:lang w:eastAsia="ja-JP"/>
        </w:rPr>
        <w:t xml:space="preserve">, </w:t>
      </w:r>
      <w:r w:rsidRPr="009918D9">
        <w:rPr>
          <w:rFonts w:eastAsia="MS Mincho"/>
          <w:i/>
          <w:iCs/>
          <w:color w:val="auto"/>
          <w:szCs w:val="24"/>
          <w:lang w:eastAsia="ja-JP"/>
        </w:rPr>
        <w:t>Dab2</w:t>
      </w:r>
      <w:r w:rsidRPr="009918D9">
        <w:rPr>
          <w:rFonts w:eastAsia="MS Mincho"/>
          <w:color w:val="auto"/>
          <w:szCs w:val="24"/>
          <w:lang w:eastAsia="ja-JP"/>
        </w:rPr>
        <w:t xml:space="preserve">, </w:t>
      </w:r>
      <w:r w:rsidRPr="009918D9">
        <w:rPr>
          <w:rFonts w:eastAsia="MS Mincho"/>
          <w:i/>
          <w:iCs/>
          <w:color w:val="auto"/>
          <w:szCs w:val="24"/>
          <w:lang w:eastAsia="ja-JP"/>
        </w:rPr>
        <w:t>F13a1</w:t>
      </w:r>
      <w:r w:rsidRPr="009918D9">
        <w:rPr>
          <w:rFonts w:eastAsia="MS Mincho"/>
          <w:color w:val="auto"/>
          <w:szCs w:val="24"/>
          <w:lang w:eastAsia="ja-JP"/>
        </w:rPr>
        <w:t xml:space="preserve">, </w:t>
      </w:r>
      <w:r w:rsidRPr="009918D9">
        <w:rPr>
          <w:rFonts w:eastAsia="MS Mincho"/>
          <w:i/>
          <w:iCs/>
          <w:color w:val="auto"/>
          <w:szCs w:val="24"/>
          <w:lang w:eastAsia="ja-JP"/>
        </w:rPr>
        <w:t>Mrc1</w:t>
      </w:r>
      <w:r w:rsidRPr="009918D9">
        <w:rPr>
          <w:rFonts w:eastAsia="MS Mincho"/>
          <w:color w:val="auto"/>
          <w:szCs w:val="24"/>
          <w:lang w:eastAsia="ja-JP"/>
        </w:rPr>
        <w:t>), and macrophage associated markers (</w:t>
      </w:r>
      <w:r w:rsidRPr="009918D9">
        <w:rPr>
          <w:rFonts w:eastAsia="MS Mincho"/>
          <w:i/>
          <w:iCs/>
          <w:color w:val="auto"/>
          <w:szCs w:val="24"/>
          <w:lang w:eastAsia="ja-JP"/>
        </w:rPr>
        <w:t>Fcgr4</w:t>
      </w:r>
      <w:r w:rsidRPr="009918D9">
        <w:rPr>
          <w:rFonts w:eastAsia="MS Mincho"/>
          <w:color w:val="auto"/>
          <w:szCs w:val="24"/>
          <w:lang w:eastAsia="ja-JP"/>
        </w:rPr>
        <w:t xml:space="preserve">, </w:t>
      </w:r>
      <w:r w:rsidRPr="009918D9">
        <w:rPr>
          <w:rFonts w:eastAsia="MS Mincho"/>
          <w:i/>
          <w:iCs/>
          <w:color w:val="auto"/>
          <w:szCs w:val="24"/>
          <w:lang w:eastAsia="ja-JP"/>
        </w:rPr>
        <w:t>Lyz2</w:t>
      </w:r>
      <w:r w:rsidRPr="009918D9">
        <w:rPr>
          <w:rFonts w:eastAsia="MS Mincho"/>
          <w:color w:val="auto"/>
          <w:szCs w:val="24"/>
          <w:lang w:eastAsia="ja-JP"/>
        </w:rPr>
        <w:t xml:space="preserve">, </w:t>
      </w:r>
      <w:r w:rsidRPr="009918D9">
        <w:rPr>
          <w:rFonts w:eastAsia="MS Mincho"/>
          <w:i/>
          <w:iCs/>
          <w:color w:val="auto"/>
          <w:szCs w:val="24"/>
          <w:lang w:eastAsia="ja-JP"/>
        </w:rPr>
        <w:t>Ms4a4a</w:t>
      </w:r>
      <w:r w:rsidRPr="009918D9">
        <w:rPr>
          <w:rFonts w:eastAsia="MS Mincho"/>
          <w:color w:val="auto"/>
          <w:szCs w:val="24"/>
          <w:lang w:eastAsia="ja-JP"/>
        </w:rPr>
        <w:t xml:space="preserve">, </w:t>
      </w:r>
      <w:r w:rsidRPr="009918D9">
        <w:rPr>
          <w:rFonts w:eastAsia="MS Mincho"/>
          <w:i/>
          <w:iCs/>
          <w:color w:val="auto"/>
          <w:szCs w:val="24"/>
          <w:lang w:eastAsia="ja-JP"/>
        </w:rPr>
        <w:t>Msr1</w:t>
      </w:r>
      <w:r w:rsidRPr="009918D9">
        <w:rPr>
          <w:rFonts w:eastAsia="MS Mincho"/>
          <w:color w:val="auto"/>
          <w:szCs w:val="24"/>
          <w:lang w:eastAsia="ja-JP"/>
        </w:rPr>
        <w:t>). (E) Heatmap of scaled expression for marker genes across major cell type clusters.</w:t>
      </w:r>
    </w:p>
    <w:p w14:paraId="2FB33776" w14:textId="77777777" w:rsidR="003A5484" w:rsidRDefault="003A5484" w:rsidP="000F6676">
      <w:pPr>
        <w:widowControl/>
        <w:adjustRightInd w:val="0"/>
        <w:snapToGrid w:val="0"/>
        <w:spacing w:line="480" w:lineRule="auto"/>
        <w:rPr>
          <w:rFonts w:eastAsia="MS Mincho"/>
          <w:color w:val="auto"/>
          <w:szCs w:val="24"/>
          <w:lang w:eastAsia="ja-JP"/>
        </w:rPr>
      </w:pPr>
    </w:p>
    <w:p w14:paraId="09637BC4" w14:textId="15523C38" w:rsidR="003A5484" w:rsidRDefault="00917FAB" w:rsidP="000F6676">
      <w:pPr>
        <w:widowControl/>
        <w:adjustRightInd w:val="0"/>
        <w:snapToGrid w:val="0"/>
        <w:spacing w:line="480" w:lineRule="auto"/>
        <w:rPr>
          <w:rFonts w:eastAsia="MS Mincho"/>
          <w:color w:val="auto"/>
          <w:szCs w:val="24"/>
          <w:lang w:eastAsia="ja-JP"/>
        </w:rPr>
      </w:pPr>
      <w:r>
        <w:rPr>
          <w:noProof/>
        </w:rPr>
        <w:lastRenderedPageBreak/>
        <w:drawing>
          <wp:inline distT="0" distB="0" distL="0" distR="0" wp14:anchorId="13DB004C" wp14:editId="196FE1D2">
            <wp:extent cx="5274310" cy="467296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672965"/>
                    </a:xfrm>
                    <a:prstGeom prst="rect">
                      <a:avLst/>
                    </a:prstGeom>
                    <a:noFill/>
                    <a:ln>
                      <a:noFill/>
                    </a:ln>
                  </pic:spPr>
                </pic:pic>
              </a:graphicData>
            </a:graphic>
          </wp:inline>
        </w:drawing>
      </w:r>
    </w:p>
    <w:p w14:paraId="04887E8C" w14:textId="141AA960" w:rsidR="000F6676" w:rsidRPr="000F6676" w:rsidRDefault="000F6676" w:rsidP="000F6676">
      <w:pPr>
        <w:widowControl/>
        <w:adjustRightInd w:val="0"/>
        <w:snapToGrid w:val="0"/>
        <w:spacing w:line="480" w:lineRule="auto"/>
        <w:rPr>
          <w:rFonts w:eastAsia="MS Mincho"/>
          <w:b/>
          <w:bCs/>
          <w:color w:val="auto"/>
          <w:szCs w:val="24"/>
          <w:lang w:eastAsia="ja-JP"/>
        </w:rPr>
      </w:pPr>
      <w:r w:rsidRPr="000F6676">
        <w:rPr>
          <w:rFonts w:eastAsia="MS Mincho"/>
          <w:b/>
          <w:bCs/>
          <w:color w:val="auto"/>
          <w:szCs w:val="24"/>
          <w:lang w:eastAsia="ja-JP"/>
        </w:rPr>
        <w:t xml:space="preserve">Fig. S5. Selective microglia-neuron interaction and synaptic remodeling in the ARC at CLP1d (related to Fig. 3) </w:t>
      </w:r>
    </w:p>
    <w:p w14:paraId="3CA7497E" w14:textId="0EFEC619" w:rsidR="000F6676" w:rsidRPr="000F6676" w:rsidRDefault="000F6676" w:rsidP="000F6676">
      <w:pPr>
        <w:widowControl/>
        <w:adjustRightInd w:val="0"/>
        <w:snapToGrid w:val="0"/>
        <w:spacing w:line="480" w:lineRule="auto"/>
        <w:rPr>
          <w:rFonts w:eastAsia="MS Mincho"/>
          <w:color w:val="auto"/>
          <w:szCs w:val="24"/>
          <w:lang w:eastAsia="ja-JP"/>
        </w:rPr>
      </w:pPr>
      <w:r w:rsidRPr="000F6676">
        <w:rPr>
          <w:rFonts w:eastAsia="MS Mincho"/>
          <w:color w:val="auto"/>
          <w:szCs w:val="24"/>
          <w:lang w:eastAsia="ja-JP"/>
        </w:rPr>
        <w:t>(A) Representative ARC images from Sham and CLP1d mice showing POMC (red), Iba1 (green), c-Fos (white), and DAPI (blue). Right, 3D surface renderings highlighting microglia-POMC soma apposition. Scale bar, 50 μm. (B and C) Quantification of contact area between individual microglia and POMC somata (B) and numbers of c-Fos positive POMC positive cells per ARC section (C). N = 3. (D) Immunostaining of ARC sections from Agrp tdTomato mice showing tdTomato (red), Iba1 (green), Vglut2 (white), and DAPI (blue) in Sham and CLP1d. Scale bar, 10 μm. (E) Quantification of perisomatic Vglut2 positive puncta around AgRP neurons. Data are mean ± SEM. N = 4 to 5. (B), Mann-Whitney U test. (C, E), Unpaired Student’s t test. ns, not significant.</w:t>
      </w:r>
    </w:p>
    <w:p w14:paraId="709A00A4" w14:textId="77636F07" w:rsidR="003A5484" w:rsidRDefault="003A5484" w:rsidP="000F6676">
      <w:pPr>
        <w:widowControl/>
        <w:adjustRightInd w:val="0"/>
        <w:snapToGrid w:val="0"/>
        <w:spacing w:line="480" w:lineRule="auto"/>
        <w:rPr>
          <w:rFonts w:eastAsia="MS Mincho"/>
          <w:color w:val="auto"/>
          <w:szCs w:val="24"/>
          <w:lang w:eastAsia="ja-JP"/>
        </w:rPr>
      </w:pPr>
      <w:r>
        <w:rPr>
          <w:noProof/>
        </w:rPr>
        <w:lastRenderedPageBreak/>
        <w:drawing>
          <wp:inline distT="0" distB="0" distL="0" distR="0" wp14:anchorId="3CA8EB65" wp14:editId="375B4B0C">
            <wp:extent cx="5274310" cy="4664710"/>
            <wp:effectExtent l="0" t="0" r="2540" b="254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4664710"/>
                    </a:xfrm>
                    <a:prstGeom prst="rect">
                      <a:avLst/>
                    </a:prstGeom>
                    <a:noFill/>
                    <a:ln>
                      <a:noFill/>
                    </a:ln>
                  </pic:spPr>
                </pic:pic>
              </a:graphicData>
            </a:graphic>
          </wp:inline>
        </w:drawing>
      </w:r>
    </w:p>
    <w:p w14:paraId="5F177B5A" w14:textId="3AD648AC" w:rsidR="003A5484" w:rsidRDefault="003A5484" w:rsidP="000F6676">
      <w:pPr>
        <w:widowControl/>
        <w:adjustRightInd w:val="0"/>
        <w:snapToGrid w:val="0"/>
        <w:spacing w:line="480" w:lineRule="auto"/>
        <w:rPr>
          <w:rFonts w:eastAsia="MS Mincho"/>
          <w:color w:val="auto"/>
          <w:szCs w:val="24"/>
          <w:lang w:eastAsia="ja-JP"/>
        </w:rPr>
      </w:pPr>
      <w:r>
        <w:rPr>
          <w:rFonts w:eastAsia="MS Mincho"/>
          <w:b/>
          <w:bCs/>
          <w:color w:val="auto"/>
          <w:szCs w:val="24"/>
          <w:lang w:eastAsia="ja-JP"/>
        </w:rPr>
        <w:t>Figure</w:t>
      </w:r>
      <w:r w:rsidRPr="009918D9">
        <w:rPr>
          <w:rFonts w:eastAsia="MS Mincho"/>
          <w:b/>
          <w:bCs/>
          <w:color w:val="auto"/>
          <w:szCs w:val="24"/>
          <w:lang w:eastAsia="ja-JP"/>
        </w:rPr>
        <w:t xml:space="preserve"> S6. Validation of DT mediated microglial depletion and systemic metabolic indices after CLP</w:t>
      </w:r>
      <w:r w:rsidRPr="009918D9">
        <w:rPr>
          <w:rFonts w:eastAsia="MS Mincho"/>
          <w:color w:val="auto"/>
          <w:szCs w:val="24"/>
          <w:lang w:eastAsia="ja-JP"/>
        </w:rPr>
        <w:t xml:space="preserve"> </w:t>
      </w:r>
    </w:p>
    <w:p w14:paraId="22E41B91" w14:textId="77777777" w:rsidR="003A5484" w:rsidRDefault="003A5484" w:rsidP="000F6676">
      <w:pPr>
        <w:widowControl/>
        <w:adjustRightInd w:val="0"/>
        <w:snapToGrid w:val="0"/>
        <w:spacing w:line="480" w:lineRule="auto"/>
        <w:rPr>
          <w:rFonts w:eastAsia="MS Mincho"/>
          <w:color w:val="auto"/>
          <w:szCs w:val="24"/>
          <w:lang w:eastAsia="ja-JP"/>
        </w:rPr>
      </w:pPr>
      <w:r w:rsidRPr="009918D9">
        <w:rPr>
          <w:rFonts w:eastAsia="MS Mincho"/>
          <w:color w:val="auto"/>
          <w:szCs w:val="24"/>
          <w:lang w:eastAsia="ja-JP"/>
        </w:rPr>
        <w:t xml:space="preserve">(A) Representative ARC images from Sham and CLP1d Tmem119-tdTomato mice showing Iba1 (green), tdTomato (red), and DAPI (blue). Scale bar, 100 μm. (B) Percentage of Iba1 positive cells that were tdTomato positive. N = 3. (C) Representative Iba1 immunostaining in saline and DT (diphtheria toxin) treated mice after 5 days of DT administration to validate microglial depletion. Scale bar, 100 μm. </w:t>
      </w:r>
      <w:r>
        <w:rPr>
          <w:rFonts w:eastAsia="MS Mincho"/>
          <w:color w:val="auto"/>
          <w:szCs w:val="24"/>
          <w:lang w:eastAsia="ja-JP"/>
        </w:rPr>
        <w:softHyphen/>
      </w:r>
      <w:r>
        <w:rPr>
          <w:rFonts w:eastAsia="MS Mincho"/>
          <w:color w:val="auto"/>
          <w:szCs w:val="24"/>
          <w:lang w:eastAsia="ja-JP"/>
        </w:rPr>
        <w:softHyphen/>
      </w:r>
      <w:r>
        <w:rPr>
          <w:rFonts w:eastAsia="MS Mincho"/>
          <w:color w:val="auto"/>
          <w:szCs w:val="24"/>
          <w:lang w:eastAsia="ja-JP"/>
        </w:rPr>
        <w:softHyphen/>
      </w:r>
      <w:r>
        <w:rPr>
          <w:rFonts w:eastAsia="MS Mincho"/>
          <w:color w:val="auto"/>
          <w:szCs w:val="24"/>
          <w:lang w:eastAsia="ja-JP"/>
        </w:rPr>
        <w:softHyphen/>
      </w:r>
      <w:r>
        <w:rPr>
          <w:rFonts w:eastAsia="MS Mincho"/>
          <w:color w:val="auto"/>
          <w:szCs w:val="24"/>
          <w:lang w:eastAsia="ja-JP"/>
        </w:rPr>
        <w:softHyphen/>
      </w:r>
      <w:r>
        <w:rPr>
          <w:rFonts w:eastAsia="MS Mincho"/>
          <w:color w:val="auto"/>
          <w:szCs w:val="24"/>
          <w:lang w:eastAsia="ja-JP"/>
        </w:rPr>
        <w:softHyphen/>
      </w:r>
      <w:r w:rsidRPr="009918D9">
        <w:rPr>
          <w:rFonts w:eastAsia="MS Mincho"/>
          <w:color w:val="auto"/>
          <w:szCs w:val="24"/>
          <w:lang w:eastAsia="ja-JP"/>
        </w:rPr>
        <w:t xml:space="preserve">(D) Immunostaining for Aβ in the ARC in Sham, CLP7d, and Mgdep_CLP7d mice. (E) Quantification of mean Aβ fluorescence intensity in the ARC. N = 4. (F) Change in body weight over 7 days after CLP. N = 6 to 12. (G) Blood glucose during the first 24 h after CLP. N = 7 to 11. (H and I) Serum albumin (ALB) and globulin (GLB) levels </w:t>
      </w:r>
      <w:r w:rsidRPr="009918D9">
        <w:rPr>
          <w:rFonts w:eastAsia="MS Mincho"/>
          <w:color w:val="auto"/>
          <w:szCs w:val="24"/>
          <w:lang w:eastAsia="ja-JP"/>
        </w:rPr>
        <w:lastRenderedPageBreak/>
        <w:t>at the indicated groups. N = 5 to 10. Data are mean ± SEM. (B) Unpaired two tailed Student’s t test. (E, H, I) One-way ANOVA. (F, G) Two-way ANOVA. ns, not significant. *P &lt; 0.05, **P &lt; 0.01, ***P &lt; 0.001.</w:t>
      </w:r>
    </w:p>
    <w:p w14:paraId="2402446C" w14:textId="77777777" w:rsidR="003A5484" w:rsidRDefault="003A5484" w:rsidP="000F6676">
      <w:pPr>
        <w:widowControl/>
        <w:adjustRightInd w:val="0"/>
        <w:snapToGrid w:val="0"/>
        <w:spacing w:line="480" w:lineRule="auto"/>
        <w:rPr>
          <w:rFonts w:eastAsia="MS Mincho"/>
          <w:color w:val="auto"/>
          <w:szCs w:val="24"/>
          <w:lang w:eastAsia="ja-JP"/>
        </w:rPr>
      </w:pPr>
      <w:r>
        <w:rPr>
          <w:rFonts w:eastAsia="MS Mincho" w:hint="eastAsia"/>
          <w:noProof/>
          <w:color w:val="auto"/>
          <w:szCs w:val="24"/>
          <w:lang w:eastAsia="ja-JP"/>
        </w:rPr>
        <w:drawing>
          <wp:inline distT="0" distB="0" distL="0" distR="0" wp14:anchorId="445ADE88" wp14:editId="6D17D2B5">
            <wp:extent cx="5486400" cy="6696499"/>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8366" cy="6698899"/>
                    </a:xfrm>
                    <a:prstGeom prst="rect">
                      <a:avLst/>
                    </a:prstGeom>
                    <a:noFill/>
                    <a:ln>
                      <a:noFill/>
                    </a:ln>
                  </pic:spPr>
                </pic:pic>
              </a:graphicData>
            </a:graphic>
          </wp:inline>
        </w:drawing>
      </w:r>
    </w:p>
    <w:p w14:paraId="0607A64D" w14:textId="4C967D50" w:rsidR="003A5484" w:rsidRPr="009918D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9918D9">
        <w:rPr>
          <w:rFonts w:eastAsia="MS Mincho"/>
          <w:b/>
          <w:bCs/>
          <w:color w:val="auto"/>
          <w:szCs w:val="24"/>
          <w:lang w:eastAsia="ja-JP"/>
        </w:rPr>
        <w:t xml:space="preserve"> S7. Transcriptomics reveal a phagocytic to reparative shift in microglia after CLP</w:t>
      </w:r>
    </w:p>
    <w:p w14:paraId="6E837AE3" w14:textId="77777777" w:rsidR="003A5484" w:rsidRDefault="003A5484" w:rsidP="000F6676">
      <w:pPr>
        <w:widowControl/>
        <w:adjustRightInd w:val="0"/>
        <w:snapToGrid w:val="0"/>
        <w:spacing w:line="480" w:lineRule="auto"/>
        <w:rPr>
          <w:rFonts w:eastAsia="MS Mincho"/>
          <w:color w:val="auto"/>
          <w:szCs w:val="24"/>
          <w:lang w:eastAsia="ja-JP"/>
        </w:rPr>
      </w:pPr>
      <w:r w:rsidRPr="009918D9">
        <w:rPr>
          <w:rFonts w:eastAsia="MS Mincho"/>
          <w:color w:val="auto"/>
          <w:szCs w:val="24"/>
          <w:lang w:eastAsia="ja-JP"/>
        </w:rPr>
        <w:lastRenderedPageBreak/>
        <w:t>(A) Workflow for microglia enriched Smart-seq2. Tmem119-tdTomato mice were treated with tamoxifen, the mediobasal hypothalamus was microdissected and dissociated, tdTomato positive cells were isolated by fluorescence activated cell sorting, and Smart-seq2 was performed in Sham, CLP1d, and CLP7d groups. N = 3 mice per group. (B) Expression of canonical microglial markers and low expression of macrophage or other cell type markers in the sorted populations. (C) Heatmap of the top 200 differentially expressed genes across Sham, CLP1d, and CLP7d. (D) Z-scored module expression of representative functional gene sets across conditions. (E) Gene Ontology enrichment analysis of CLP7d versus CLP1d differentially expressed genes. (F) Gene Ontology enrichment analysis of CLP7d versus Sham differentially expressed genes. (G) Venn diagrams showing overlap of upregulated and downregulated genes between CLP1d versus Sham and CLP7d versus Sham, with representative genes indicated. (H) Representative ARC immunostaining showing P2RY12 (white), C1qa (red), Iba1 (green), and DAPI (blue) in Sham, CLP1d, and CLP7d. Yellow arrowheads indicate reduced P2RY12 signal and white arrowheads indicate C1qa positive Iba1 positive microglia. Scale bars, 50 μm. (I and J) Quantification of P2RY12 positive Iba1 positive cells (I) and C1qa positive Iba1 positive cells (J) per ARC section. N = 4. (K) Transmission electron microscopy of ARC microglia in Sham, CLP1d, and CLP7d showing lysosomes (Ly), mitochondria (Mit), and rough endoplasmic reticulum (RER). Insets highlight membrane invaginations and small vesicular structures. Scale bars, 0.5 μm. (L) Representative ARC images showing Iba1 (green), Lamp1 (red), and DAPI (blue). Scale bars, 10 μm. (M and N) Quantification of Lamp1 positive vesicle number per microglia (M) and Lamp1 positive area per microglia (N). Data are mean ± SEM. For (I, J, M, N), one-way ANOVA. ns, not significant. *P &lt; 0.05, **P &lt; 0.01, ***P &lt; 0.001.</w:t>
      </w:r>
    </w:p>
    <w:p w14:paraId="450E4908" w14:textId="77777777" w:rsidR="003A5484" w:rsidRDefault="003A5484" w:rsidP="000F6676">
      <w:pPr>
        <w:widowControl/>
        <w:adjustRightInd w:val="0"/>
        <w:snapToGrid w:val="0"/>
        <w:spacing w:line="480" w:lineRule="auto"/>
        <w:rPr>
          <w:rFonts w:eastAsia="MS Mincho"/>
          <w:color w:val="auto"/>
          <w:szCs w:val="24"/>
          <w:lang w:eastAsia="ja-JP"/>
        </w:rPr>
      </w:pPr>
      <w:r>
        <w:rPr>
          <w:noProof/>
        </w:rPr>
        <w:lastRenderedPageBreak/>
        <w:drawing>
          <wp:inline distT="0" distB="0" distL="0" distR="0" wp14:anchorId="45FB58A6" wp14:editId="5684AB8D">
            <wp:extent cx="5644889" cy="5727802"/>
            <wp:effectExtent l="0" t="0" r="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47771" cy="5730727"/>
                    </a:xfrm>
                    <a:prstGeom prst="rect">
                      <a:avLst/>
                    </a:prstGeom>
                    <a:noFill/>
                    <a:ln>
                      <a:noFill/>
                    </a:ln>
                  </pic:spPr>
                </pic:pic>
              </a:graphicData>
            </a:graphic>
          </wp:inline>
        </w:drawing>
      </w:r>
    </w:p>
    <w:p w14:paraId="50148768" w14:textId="771969A4" w:rsidR="003A5484" w:rsidRPr="009918D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9918D9">
        <w:rPr>
          <w:rFonts w:eastAsia="MS Mincho"/>
          <w:b/>
          <w:bCs/>
          <w:color w:val="auto"/>
          <w:szCs w:val="24"/>
          <w:lang w:eastAsia="ja-JP"/>
        </w:rPr>
        <w:t xml:space="preserve"> S8. Differential programs of myeloid subclusters in snRNA seq</w:t>
      </w:r>
    </w:p>
    <w:p w14:paraId="3E9B6FE8" w14:textId="77777777" w:rsidR="003A5484" w:rsidRDefault="003A5484" w:rsidP="000F6676">
      <w:pPr>
        <w:widowControl/>
        <w:adjustRightInd w:val="0"/>
        <w:snapToGrid w:val="0"/>
        <w:spacing w:line="480" w:lineRule="auto"/>
        <w:rPr>
          <w:rFonts w:eastAsia="MS Mincho"/>
          <w:color w:val="auto"/>
          <w:szCs w:val="24"/>
          <w:lang w:eastAsia="ja-JP"/>
        </w:rPr>
      </w:pPr>
      <w:r w:rsidRPr="009918D9">
        <w:rPr>
          <w:rFonts w:eastAsia="MS Mincho"/>
          <w:color w:val="auto"/>
          <w:szCs w:val="24"/>
          <w:lang w:eastAsia="ja-JP"/>
        </w:rPr>
        <w:t>(A) UMAP feature plots showing module-score overlays for representative marker gene sets across subclusters. (B) GO enrichment analysis for each myeloid subcluster. (C) Volcano plot of DEGs comparing Subcluster 2 with homeostatic Subclusters 0 and 3. (D and E) GO enrichment of DEGs from (C), with upregulated genes (D) and downregulated genes (E). (F) Comparison of Arhgap24 expression across major hypothalamic cell types in CLP versus Sham.</w:t>
      </w:r>
    </w:p>
    <w:p w14:paraId="6C20E9ED" w14:textId="77777777" w:rsidR="003A5484" w:rsidRDefault="003A5484" w:rsidP="000F6676">
      <w:pPr>
        <w:widowControl/>
        <w:adjustRightInd w:val="0"/>
        <w:snapToGrid w:val="0"/>
        <w:spacing w:line="480" w:lineRule="auto"/>
        <w:rPr>
          <w:rFonts w:eastAsia="MS Mincho"/>
          <w:color w:val="auto"/>
          <w:szCs w:val="24"/>
          <w:lang w:eastAsia="ja-JP"/>
        </w:rPr>
      </w:pPr>
    </w:p>
    <w:p w14:paraId="45BB1059" w14:textId="77777777" w:rsidR="003A5484" w:rsidRDefault="003A5484" w:rsidP="000F6676">
      <w:pPr>
        <w:widowControl/>
        <w:adjustRightInd w:val="0"/>
        <w:snapToGrid w:val="0"/>
        <w:spacing w:line="480" w:lineRule="auto"/>
        <w:rPr>
          <w:rFonts w:eastAsia="MS Mincho"/>
          <w:color w:val="auto"/>
          <w:szCs w:val="24"/>
          <w:lang w:eastAsia="ja-JP"/>
        </w:rPr>
      </w:pPr>
      <w:r>
        <w:rPr>
          <w:noProof/>
        </w:rPr>
        <w:lastRenderedPageBreak/>
        <w:drawing>
          <wp:inline distT="0" distB="0" distL="0" distR="0" wp14:anchorId="3AB6127F" wp14:editId="75F0568B">
            <wp:extent cx="5530291" cy="7982502"/>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32248" cy="7985326"/>
                    </a:xfrm>
                    <a:prstGeom prst="rect">
                      <a:avLst/>
                    </a:prstGeom>
                    <a:noFill/>
                    <a:ln>
                      <a:noFill/>
                    </a:ln>
                  </pic:spPr>
                </pic:pic>
              </a:graphicData>
            </a:graphic>
          </wp:inline>
        </w:drawing>
      </w:r>
    </w:p>
    <w:p w14:paraId="346F0BDC" w14:textId="6E3C9C53" w:rsidR="003A5484" w:rsidRPr="009918D9" w:rsidRDefault="003A5484" w:rsidP="000F6676">
      <w:pPr>
        <w:widowControl/>
        <w:adjustRightInd w:val="0"/>
        <w:snapToGrid w:val="0"/>
        <w:spacing w:line="480" w:lineRule="auto"/>
        <w:rPr>
          <w:rFonts w:eastAsia="MS Mincho"/>
          <w:b/>
          <w:bCs/>
          <w:color w:val="auto"/>
          <w:szCs w:val="24"/>
          <w:lang w:eastAsia="ja-JP"/>
        </w:rPr>
      </w:pPr>
      <w:r>
        <w:rPr>
          <w:rFonts w:eastAsia="MS Mincho"/>
          <w:b/>
          <w:bCs/>
          <w:color w:val="auto"/>
          <w:szCs w:val="24"/>
          <w:lang w:eastAsia="ja-JP"/>
        </w:rPr>
        <w:t>Figure</w:t>
      </w:r>
      <w:r w:rsidRPr="009918D9">
        <w:rPr>
          <w:rFonts w:eastAsia="MS Mincho"/>
          <w:b/>
          <w:bCs/>
          <w:color w:val="auto"/>
          <w:szCs w:val="24"/>
          <w:lang w:eastAsia="ja-JP"/>
        </w:rPr>
        <w:t xml:space="preserve"> S9. Additional Arhgap24 knockdown assays and in vivo Rac1 or Cdc42 modulation</w:t>
      </w:r>
    </w:p>
    <w:p w14:paraId="2326D57C" w14:textId="77777777" w:rsidR="003A5484" w:rsidRPr="00A30FFB" w:rsidRDefault="003A5484" w:rsidP="000F6676">
      <w:pPr>
        <w:widowControl/>
        <w:adjustRightInd w:val="0"/>
        <w:snapToGrid w:val="0"/>
        <w:spacing w:line="480" w:lineRule="auto"/>
        <w:rPr>
          <w:rFonts w:eastAsia="MS Mincho"/>
          <w:color w:val="auto"/>
          <w:szCs w:val="24"/>
          <w:lang w:eastAsia="ja-JP"/>
        </w:rPr>
      </w:pPr>
      <w:r w:rsidRPr="009918D9">
        <w:rPr>
          <w:rFonts w:eastAsia="MS Mincho"/>
          <w:color w:val="auto"/>
          <w:szCs w:val="24"/>
          <w:lang w:eastAsia="ja-JP"/>
        </w:rPr>
        <w:lastRenderedPageBreak/>
        <w:t>(A) Immunostaining of BV2 cells showing ARHGAP24 (red), Iba1 (green), and DAPI (blue) under control (CTL) and LPS treated conditions. Scale bar, 10 µm. (B) Quantification of ARHGAP24 puncta per cell in (A). N = 6. (C) CCK</w:t>
      </w:r>
      <w:r>
        <w:rPr>
          <w:rFonts w:eastAsia="MS Mincho"/>
          <w:color w:val="auto"/>
          <w:szCs w:val="24"/>
          <w:lang w:eastAsia="ja-JP"/>
        </w:rPr>
        <w:t>-</w:t>
      </w:r>
      <w:r w:rsidRPr="009918D9">
        <w:rPr>
          <w:rFonts w:eastAsia="MS Mincho"/>
          <w:color w:val="auto"/>
          <w:szCs w:val="24"/>
          <w:lang w:eastAsia="ja-JP"/>
        </w:rPr>
        <w:t>8 assay showing cell viability of shCtrl and sh-</w:t>
      </w:r>
      <w:r w:rsidRPr="009918D9">
        <w:rPr>
          <w:rFonts w:eastAsia="MS Mincho"/>
          <w:i/>
          <w:iCs/>
          <w:color w:val="auto"/>
          <w:szCs w:val="24"/>
          <w:lang w:eastAsia="ja-JP"/>
        </w:rPr>
        <w:t>Arhgap24</w:t>
      </w:r>
      <w:r w:rsidRPr="009918D9">
        <w:rPr>
          <w:rFonts w:eastAsia="MS Mincho"/>
          <w:color w:val="auto"/>
          <w:szCs w:val="24"/>
          <w:lang w:eastAsia="ja-JP"/>
        </w:rPr>
        <w:t xml:space="preserve"> 1# BV2 cells at the indicated time points. N = 4. (D, E) BrdU incorporation assay in BV2 cells under the indicated conditions (shCtrl ± LPS; sh-</w:t>
      </w:r>
      <w:r w:rsidRPr="009918D9">
        <w:rPr>
          <w:rFonts w:eastAsia="MS Mincho"/>
          <w:i/>
          <w:iCs/>
          <w:color w:val="auto"/>
          <w:szCs w:val="24"/>
          <w:lang w:eastAsia="ja-JP"/>
        </w:rPr>
        <w:t>Arhgap24</w:t>
      </w:r>
      <w:r w:rsidRPr="009918D9">
        <w:rPr>
          <w:rFonts w:eastAsia="MS Mincho"/>
          <w:color w:val="auto"/>
          <w:szCs w:val="24"/>
          <w:lang w:eastAsia="ja-JP"/>
        </w:rPr>
        <w:t xml:space="preserve"> 1# ± LPS), with representative images (D) and quantification of BrdU positive cells (E). Scale bar, 50 µm. N = 4-5. (F, G) Scratch wound assay under the same conditions, with representative images at 0 h and 24 h (F) and quantification of migration distance (G). Scale bar, 100 µm. N = 4-5. (H) Representative Iba1 immunostaining of ARC microglia one day after third ventricle injection of aCSF, AZA1, or CN02 under physiological conditions. Scale bar, 10 µm. (I, J) Sholl analysis and morphology quantification of ARC microglia from (H), including maximal radius and Sholl AUC, total process length, and mean process diameter. N = 3. (K) Immunostaining of ARC sections from CLP1d mice treated with aCSF, AZA1, or CN02 showing Iba1 (green), Lamp1 (red), and DAPI (blue). Scale bar, 10 µm. (L, M) Quantification of Lamp1 positive vesicle number per cell (L) and Lamp1 positive area per cell (M) from (K). N = 3-4. Data are shown as mean ± SEM. (B) Student’s t test. (E, G, J, L-M) one-way ANOVA. (C) two-way ANOVA. ns, not significant; * P &lt; 0.05, ** P &lt; 0.01, *** P &lt; 0.001.</w:t>
      </w:r>
      <w:r>
        <w:rPr>
          <w:rFonts w:eastAsia="MS Mincho"/>
          <w:color w:val="auto"/>
          <w:szCs w:val="24"/>
          <w:lang w:eastAsia="ja-JP"/>
        </w:rPr>
        <w:softHyphen/>
      </w:r>
      <w:r>
        <w:rPr>
          <w:rFonts w:eastAsia="MS Mincho"/>
          <w:color w:val="auto"/>
          <w:szCs w:val="24"/>
          <w:lang w:eastAsia="ja-JP"/>
        </w:rPr>
        <w:softHyphen/>
      </w:r>
    </w:p>
    <w:p w14:paraId="3E90BA74" w14:textId="77777777" w:rsidR="00415CAE" w:rsidRPr="003A5484" w:rsidRDefault="00415CAE" w:rsidP="000F6676"/>
    <w:sectPr w:rsidR="00415CAE" w:rsidRPr="003A5484" w:rsidSect="002610AA">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6DE8A" w14:textId="77777777" w:rsidR="00565475" w:rsidRDefault="00565475" w:rsidP="003A5484">
      <w:r>
        <w:separator/>
      </w:r>
    </w:p>
  </w:endnote>
  <w:endnote w:type="continuationSeparator" w:id="0">
    <w:p w14:paraId="78812507" w14:textId="77777777" w:rsidR="00565475" w:rsidRDefault="00565475" w:rsidP="003A5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dobe 宋体 Std L">
    <w:panose1 w:val="02020300000000000000"/>
    <w:charset w:val="86"/>
    <w:family w:val="roman"/>
    <w:notTrueType/>
    <w:pitch w:val="variable"/>
    <w:sig w:usb0="00000207" w:usb1="0A0F1810" w:usb2="00000016" w:usb3="00000000" w:csb0="00060007" w:csb1="00000000"/>
  </w:font>
  <w:font w:name="MS Mincho">
    <w:altName w:val="MS Mincho"/>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F289C" w14:textId="77777777" w:rsidR="00565475" w:rsidRDefault="00565475" w:rsidP="003A5484">
      <w:r>
        <w:separator/>
      </w:r>
    </w:p>
  </w:footnote>
  <w:footnote w:type="continuationSeparator" w:id="0">
    <w:p w14:paraId="640CEE4B" w14:textId="77777777" w:rsidR="00565475" w:rsidRDefault="00565475" w:rsidP="003A54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A1"/>
    <w:rsid w:val="000F6676"/>
    <w:rsid w:val="003A5484"/>
    <w:rsid w:val="00415CAE"/>
    <w:rsid w:val="00430108"/>
    <w:rsid w:val="004D2FA1"/>
    <w:rsid w:val="00565475"/>
    <w:rsid w:val="005715EB"/>
    <w:rsid w:val="006D1286"/>
    <w:rsid w:val="006F3D75"/>
    <w:rsid w:val="00766332"/>
    <w:rsid w:val="00917FAB"/>
    <w:rsid w:val="00971FC6"/>
    <w:rsid w:val="00B91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EC2565"/>
  <w15:chartTrackingRefBased/>
  <w15:docId w15:val="{84CAB400-B16D-4DD1-AFB9-EB2D16CD5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dobe 宋体 Std L" w:hAnsi="Times New Roman" w:cs="Times New Roman"/>
        <w:color w:val="131413"/>
        <w:sz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548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二级title"/>
    <w:basedOn w:val="a"/>
    <w:link w:val="title0"/>
    <w:qFormat/>
    <w:rsid w:val="00766332"/>
    <w:pPr>
      <w:adjustRightInd w:val="0"/>
      <w:snapToGrid w:val="0"/>
      <w:spacing w:line="360" w:lineRule="auto"/>
    </w:pPr>
    <w:rPr>
      <w:b/>
      <w:bCs/>
    </w:rPr>
  </w:style>
  <w:style w:type="character" w:customStyle="1" w:styleId="title0">
    <w:name w:val="二级title 字符"/>
    <w:basedOn w:val="a0"/>
    <w:link w:val="title"/>
    <w:rsid w:val="00766332"/>
    <w:rPr>
      <w:b/>
      <w:bCs/>
    </w:rPr>
  </w:style>
  <w:style w:type="paragraph" w:styleId="a3">
    <w:name w:val="header"/>
    <w:basedOn w:val="a"/>
    <w:link w:val="a4"/>
    <w:uiPriority w:val="99"/>
    <w:unhideWhenUsed/>
    <w:rsid w:val="003A54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A5484"/>
    <w:rPr>
      <w:sz w:val="18"/>
      <w:szCs w:val="18"/>
    </w:rPr>
  </w:style>
  <w:style w:type="paragraph" w:styleId="a5">
    <w:name w:val="footer"/>
    <w:basedOn w:val="a"/>
    <w:link w:val="a6"/>
    <w:uiPriority w:val="99"/>
    <w:unhideWhenUsed/>
    <w:rsid w:val="003A5484"/>
    <w:pPr>
      <w:tabs>
        <w:tab w:val="center" w:pos="4153"/>
        <w:tab w:val="right" w:pos="8306"/>
      </w:tabs>
      <w:snapToGrid w:val="0"/>
      <w:jc w:val="left"/>
    </w:pPr>
    <w:rPr>
      <w:sz w:val="18"/>
      <w:szCs w:val="18"/>
    </w:rPr>
  </w:style>
  <w:style w:type="character" w:customStyle="1" w:styleId="a6">
    <w:name w:val="页脚 字符"/>
    <w:basedOn w:val="a0"/>
    <w:link w:val="a5"/>
    <w:uiPriority w:val="99"/>
    <w:rsid w:val="003A5484"/>
    <w:rPr>
      <w:sz w:val="18"/>
      <w:szCs w:val="18"/>
    </w:rPr>
  </w:style>
  <w:style w:type="character" w:styleId="a7">
    <w:name w:val="line number"/>
    <w:basedOn w:val="a0"/>
    <w:uiPriority w:val="99"/>
    <w:semiHidden/>
    <w:unhideWhenUsed/>
    <w:rsid w:val="003A5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1340</Words>
  <Characters>7746</Characters>
  <Application>Microsoft Office Word</Application>
  <DocSecurity>0</DocSecurity>
  <Lines>158</Lines>
  <Paragraphs>40</Paragraphs>
  <ScaleCrop>false</ScaleCrop>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Mengjie Che</dc:creator>
  <cp:keywords/>
  <dc:description/>
  <cp:lastModifiedBy>Mengjie Che</cp:lastModifiedBy>
  <cp:revision>5</cp:revision>
  <dcterms:created xsi:type="dcterms:W3CDTF">2026-01-29T05:27:00Z</dcterms:created>
  <dcterms:modified xsi:type="dcterms:W3CDTF">2026-03-16T08:15:00Z</dcterms:modified>
</cp:coreProperties>
</file>