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sz w:val="24"/>
          <w:szCs w:val="24"/>
          <w:lang w:eastAsia="ko-KR"/>
        </w:rPr>
        <w:t>S</w:t>
      </w:r>
      <w:r w:rsidRPr="00234FC8">
        <w:rPr>
          <w:rFonts w:ascii="Times New Roman" w:eastAsia="Malgun Gothic" w:hAnsi="Times New Roman" w:cs="Times New Roman"/>
          <w:b/>
          <w:sz w:val="24"/>
          <w:szCs w:val="24"/>
          <w:lang w:eastAsia="ko-KR"/>
        </w:rPr>
        <w:t>upplementary data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A49FCE8" wp14:editId="5377FD63">
            <wp:extent cx="5906072" cy="7491730"/>
            <wp:effectExtent l="0" t="0" r="0" b="0"/>
            <wp:docPr id="126" name="그림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029" cy="750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lastRenderedPageBreak/>
        <w:t>Supplementary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Fig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 xml:space="preserve">ure 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1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.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Extensive brain infection and neuroinvasion in K18-hACE2 transgenic mice infected with a lethal dose of SARS-CoV-2.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(A)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Schematic of the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lethal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-dose infection model. K18-hACE2 mice were intranasally challenged with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2 </w:t>
      </w: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>×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10</w:t>
      </w:r>
      <w:r w:rsidRPr="00234FC8">
        <w:rPr>
          <w:rFonts w:ascii="Times New Roman" w:hAnsi="Times New Roman" w:cs="Times New Roman"/>
          <w:sz w:val="24"/>
          <w:szCs w:val="24"/>
          <w:vertAlign w:val="superscript"/>
          <w:lang w:eastAsia="ko-KR"/>
        </w:rPr>
        <w:t>4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PFU of SARS-CoV-2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 and analysed at 6 dpi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(B)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Diagram of the mouse brain indicating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the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anatomical regions analysed for viral distribution: olfactory bulb (OB), cortex (CTX).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(C-D)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Representative immunofluorescence images of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the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SARS-CoV-2 nucleocapsid (NP; red) in the olfactory region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C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 and cerebral cortex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D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) at 6 dpi. Nuclei are counterstained with DAPI (blue) and merged images are shown. Scale bars, 25 µm. Images are representative of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three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n = 3 mice.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D40A624" wp14:editId="7432917C">
            <wp:extent cx="5954016" cy="6360795"/>
            <wp:effectExtent l="0" t="0" r="0" b="0"/>
            <wp:docPr id="127" name="그림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035" cy="638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lastRenderedPageBreak/>
        <w:t>Supplementary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Fig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 xml:space="preserve">ure 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2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.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Clinical course and peripheral viral RNA kinetics following SARS-CoV-2 infection in K18-hACE2 mice.</w:t>
      </w:r>
    </w:p>
    <w:p w:rsidR="004266B4" w:rsidRPr="00234FC8" w:rsidRDefault="004266B4" w:rsidP="004266B4">
      <w:pPr>
        <w:rPr>
          <w:rFonts w:ascii="Times New Roman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(A-B)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Body weight change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(A)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(n = 12 mice per group) and survival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(B)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(n = 13 mice per group) of K18-hACE2 mice infected intranasally with 50 PFU of SARS-CoV-2 compared with mock controls.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(C-F)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Time-course quantification of viral RNA in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 the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lung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C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nasal turbinate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D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eye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 and testis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F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) at the indicated time points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using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RT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-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qPCR (n = 4 mice per group per time point).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 </w:t>
      </w: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Limits of detection (LOD) indicated by the dotted lines.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The dashed line indicates the limit of detection; viral RNA in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 the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testis was not detected at any time point. N.D., not detected.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Data are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the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mean ± s.e.m. Statistical significance was determined by two-way ANOVA with repeated measures followed by Sidak’s multiple-comparisons test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A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log-rank (Mantel–Cox) test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B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and one-way ANOVA with Dunnett’s multiple-comparisons test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C-E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).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The 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xact </w:t>
      </w:r>
      <w:r w:rsidRPr="00234FC8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P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values are indicated; **** </w:t>
      </w:r>
      <w:r w:rsidRPr="00234FC8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P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&lt; 0.0001.</w:t>
      </w:r>
    </w:p>
    <w:p w:rsidR="004266B4" w:rsidRPr="00234FC8" w:rsidRDefault="004266B4" w:rsidP="004266B4">
      <w:pPr>
        <w:rPr>
          <w:rFonts w:ascii="Times New Roman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hAnsi="Times New Roman" w:cs="Times New Roman"/>
          <w:sz w:val="24"/>
          <w:szCs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3043D27" wp14:editId="64AAEBCA">
            <wp:extent cx="5918975" cy="7195820"/>
            <wp:effectExtent l="0" t="0" r="0" b="0"/>
            <wp:docPr id="128" name="그림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450" cy="720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lastRenderedPageBreak/>
        <w:t>Supplementary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Fig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 xml:space="preserve">ure 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3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.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Multiplex profiling of cytokines and chemokines in whole-brain lysates from SARS-CoV-2-infected K18-hACE2 mice.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(A-O)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Cytokine and chemokine protein concentrations measured in whole-brain lysates at 0 (mock), 6, 15, 30, 60 and 90 dpi using a multiplex bead-based array. Analytes include M-CSF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A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CCL2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B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CCL3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C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CCL4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D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CCL5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CCL11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F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CCL19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G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CXCL10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H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IL-1</w:t>
      </w:r>
      <w:r w:rsidRPr="00234FC8">
        <w:rPr>
          <w:rFonts w:ascii="Symbol" w:eastAsia="Malgun Gothic" w:hAnsi="Symbol" w:cs="Times New Roman"/>
          <w:sz w:val="24"/>
          <w:szCs w:val="24"/>
          <w:lang w:eastAsia="ko-KR"/>
        </w:rPr>
        <w:t>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I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IL-6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J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TNF-</w:t>
      </w:r>
      <w:r w:rsidRPr="00234FC8">
        <w:rPr>
          <w:rFonts w:ascii="Symbol" w:eastAsia="Malgun Gothic" w:hAnsi="Symbol" w:cs="Times New Roman"/>
          <w:sz w:val="24"/>
          <w:szCs w:val="24"/>
          <w:lang w:eastAsia="ko-KR"/>
        </w:rPr>
        <w:t>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K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IL-12p70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L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IL-2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M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IL-13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N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,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and IL-4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O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).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The d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ata are presented as violin plots with overlaid individual data points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 </w:t>
      </w: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(n = 4 per group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at each</w:t>
      </w: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time point; sporadic statistical outliers were excluded using the ROUT method, detailed in Methods)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.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Non-detected samples are assigned a value of 0. Statistical significance was determined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using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one-way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analysis of variance (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ANOVA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with Dunnett’s multiple-comparisons test (each time point compared with 0 dpi).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The 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xact </w:t>
      </w:r>
      <w:r w:rsidRPr="00234FC8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P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values are indicated.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C24906F" wp14:editId="71C5A2F3">
            <wp:extent cx="5907801" cy="7338695"/>
            <wp:effectExtent l="0" t="0" r="0" b="0"/>
            <wp:docPr id="129" name="그림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073" cy="735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  <w:br w:type="page"/>
      </w:r>
      <w:r w:rsidRPr="00234FC8">
        <w:rPr>
          <w:rFonts w:ascii="Times New Roman" w:eastAsia="Malgun Gothic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609400F" wp14:editId="6BEB5BFC">
            <wp:extent cx="5923608" cy="6002996"/>
            <wp:effectExtent l="0" t="0" r="1270" b="0"/>
            <wp:docPr id="130" name="그림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657" cy="6015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Supplementary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Fig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 xml:space="preserve">ure 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4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.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Persistent patchy reduction of neuronal NeuN expression in the cortex of K18-hACE2 mice following SARS-CoV-2 infection.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(A)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Schematic of coronal brain sections indicating the anatomical locations of the prefrontal cortex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B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posterior cortex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C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), olfactory bulb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D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 and hippocampus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).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(B-E)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Representative images of Nissl (left) and NeuN (right) staining in the indicated brain regions from mock-infected and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lastRenderedPageBreak/>
        <w:t>SARS-CoV-2-infected mice at 6, 15, 30, 60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,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and 90 dpi. White dashed lines demarcate focal areas of reduced NeuN immunoreactivity observed in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 the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cortical regions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B-C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),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in contrast to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preserved staining in the olfactory bulb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D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 and hippocampus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). Scale bars, 100 µm.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The i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mages are representative of n = 3-5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mice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with similar results.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F34B8E6" wp14:editId="64A62E30">
            <wp:extent cx="5934075" cy="24384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  <w:t xml:space="preserve">Supplementary Figure 5. Semi-quantitative area analysis of focal cortical NeuN-depleted regions in K18-hACE2 mice. </w:t>
      </w:r>
    </w:p>
    <w:p w:rsidR="004266B4" w:rsidRPr="00234FC8" w:rsidRDefault="004266B4" w:rsidP="004266B4">
      <w:pPr>
        <w:rPr>
          <w:rFonts w:ascii="Times New Roman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bCs/>
          <w:sz w:val="24"/>
          <w:szCs w:val="24"/>
          <w:lang w:eastAsia="ko-KR"/>
        </w:rPr>
        <w:t xml:space="preserve">The representative cortical NeuN-low regions shown in Fig. 1E were assessed by measuring the NeuN-depleted area as a percentage of total cortical area at the indicated days post infection (dpi). Individual symbols represent biologically independent animals. Data are shown as mean ± s.e.m.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Statistical significance was determined by one-way ANOVA with Dunnett’s multiple-comparisons test.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The 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xact </w:t>
      </w:r>
      <w:r w:rsidRPr="00234FC8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P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values are indicated.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Cs/>
          <w:sz w:val="24"/>
          <w:szCs w:val="24"/>
          <w:lang w:eastAsia="ko-KR"/>
        </w:rPr>
      </w:pPr>
    </w:p>
    <w:p w:rsidR="004266B4" w:rsidRPr="00234FC8" w:rsidRDefault="004266B4" w:rsidP="004266B4">
      <w:pPr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bCs/>
          <w:noProof/>
          <w:sz w:val="24"/>
          <w:szCs w:val="24"/>
        </w:rPr>
        <w:lastRenderedPageBreak/>
        <w:drawing>
          <wp:inline distT="0" distB="0" distL="0" distR="0" wp14:anchorId="5646D116" wp14:editId="75D0172D">
            <wp:extent cx="5934075" cy="7610475"/>
            <wp:effectExtent l="0" t="0" r="0" b="952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Supplementary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Fig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ure 6.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Transcriptomic profiling of SARS-CoV-2-infected K18-hACE2 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lastRenderedPageBreak/>
        <w:t xml:space="preserve">mouse brains 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using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RNA-seq.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(A)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Venn diagrams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illustrating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the overlap of upregulated (left) and downregulated (right) differentially expressed genes (DEGs) between mock versus 6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days post-infection (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dpi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(M vs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.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S6)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,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and 6 dpi versus 15 dpi (S6 vs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.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S15) (M, mock; S6, 6 dpi; S15, 15 dpi).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 (B)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Volcano plots depicting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differentially expressed genes (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DEGs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for pairwise comparisons: 6 dpi versus 15 dpi, 6 dpi versus 30 dpi, 6 dpi versus 60 dpi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,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and 6 dpi versus 90 dpi. Key immune-related genes and Hcrt are labelled. Blue and red dots represent significantly downregulated and upregulated genes, respectively (log</w:t>
      </w:r>
      <w:r w:rsidRPr="00234FC8">
        <w:rPr>
          <w:rFonts w:ascii="Times New Roman" w:hAnsi="Times New Roman" w:cs="Times New Roman"/>
          <w:sz w:val="24"/>
          <w:szCs w:val="24"/>
          <w:vertAlign w:val="subscript"/>
          <w:lang w:eastAsia="ko-KR"/>
        </w:rPr>
        <w:t>2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fold change &gt; 1 or &lt; −1; adjusted </w:t>
      </w:r>
      <w:r w:rsidRPr="00234FC8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P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&lt; 0.05). The vertical dashed lines indicate the log</w:t>
      </w:r>
      <w:r w:rsidRPr="00234FC8">
        <w:rPr>
          <w:rFonts w:ascii="Times New Roman" w:hAnsi="Times New Roman" w:cs="Times New Roman"/>
          <w:sz w:val="24"/>
          <w:szCs w:val="24"/>
          <w:vertAlign w:val="subscript"/>
          <w:lang w:eastAsia="ko-KR"/>
        </w:rPr>
        <w:t>2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fold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-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change cutoff,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while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the horizontal dashed line indicates the significance threshold.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B15FF8D" wp14:editId="25F994C6">
            <wp:extent cx="5934075" cy="260032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FC8">
        <w:rPr>
          <w:rFonts w:ascii="Times New Roman" w:eastAsia="Malgun Gothic" w:hAnsi="Times New Roman" w:cs="Times New Roman"/>
          <w:b/>
          <w:sz w:val="24"/>
          <w:szCs w:val="24"/>
          <w:lang w:eastAsia="ko-KR"/>
        </w:rPr>
        <w:t>Supplementary Figure 7. Semi-quantitative counting of orexin-positive cells in the lateral hypothalamus of K18-hACE2 mice following SARS-CoV-2 infection.</w:t>
      </w: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Orexin-positive cells were counted in the lateral hypothalamus at the indicated days post infection (dpi). The quantification supports the qualitative reduction in orexin immunoreactivity observed at 6 dpi, followed by recovery at later time points. Individual symbols represent biologically independent animals. Data are shown as mean ± s.e.m.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Statistical significance was determined by one-way ANOVA with Dunnett’s multiple-comparisons test.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The e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xact </w:t>
      </w:r>
      <w:r w:rsidRPr="00234FC8">
        <w:rPr>
          <w:rFonts w:ascii="Times New Roman" w:hAnsi="Times New Roman" w:cs="Times New Roman"/>
          <w:i/>
          <w:iCs/>
          <w:sz w:val="24"/>
          <w:szCs w:val="24"/>
          <w:lang w:eastAsia="ko-KR"/>
        </w:rPr>
        <w:t>P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values are indicated.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2CD2D85" wp14:editId="44582CFF">
            <wp:extent cx="5934075" cy="7038975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FC8">
        <w:rPr>
          <w:rFonts w:ascii="Times New Roman" w:eastAsia="Malgun Gothic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5C2F8D9" wp14:editId="23D157E1">
            <wp:extent cx="5892166" cy="6917651"/>
            <wp:effectExtent l="0" t="0" r="0" b="0"/>
            <wp:docPr id="133" name="그림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650" cy="6938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</w:p>
    <w:p w:rsidR="004266B4" w:rsidRPr="00234FC8" w:rsidRDefault="004266B4" w:rsidP="004266B4">
      <w:pPr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lastRenderedPageBreak/>
        <w:t>Supplementary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Fig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ure 8.</w:t>
      </w:r>
      <w:r w:rsidRPr="00234FC8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Persistent patchy reduction of cortical NeuN immunoreactivity in BALB/c mice following MA10 SARS-CoV-2 infection.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(A-B)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Representative images of Nissl staining (left) and NeuN immunohistochemistry (right)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of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the prefrontal cortex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A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 and posterior cortex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B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)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of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mock- and MA10-infected BALB/c mice at 3, 6, 14, 30, 60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,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and 90 dpi. White dashed lines indicate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the 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focal regions with reduced NeuN immunoreactivity.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(C-D)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Representative images of Nissl staining and NeuN immunoreactivity in the olfactory bulb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C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 and hippocampus (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D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) showing no overt reduction in NeuN immunoreactivity across the analy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s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>ed time points. Scale bars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:</w:t>
      </w:r>
      <w:r w:rsidRPr="00234FC8">
        <w:rPr>
          <w:rFonts w:ascii="Times New Roman" w:hAnsi="Times New Roman" w:cs="Times New Roman"/>
          <w:sz w:val="24"/>
          <w:szCs w:val="24"/>
          <w:lang w:eastAsia="ko-KR"/>
        </w:rPr>
        <w:t xml:space="preserve"> 100 µm (all panels). Images are representative of n = 3-4 independent biological replicates with similar results.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sz w:val="24"/>
          <w:lang w:eastAsia="ko-KR"/>
        </w:rPr>
        <w:br w:type="page"/>
      </w:r>
      <w:r w:rsidRPr="00234FC8">
        <w:rPr>
          <w:rFonts w:ascii="Times New Roman" w:eastAsia="Malgun Gothic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31250B4F" wp14:editId="752FB4DB">
            <wp:extent cx="5934075" cy="2562225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sz w:val="24"/>
          <w:lang w:eastAsia="ko-KR"/>
        </w:rPr>
        <w:t>Supplementary Figure 9. Semi-quantitative analysis of cortical NeuN-depleted regions and hypothalamic orexin-positive cells in MA10-infected mice.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(A) Semi-quantitative area analysis of the representative focal cortical NeuN-depleted regions shown in Fig. 5G. The NeuN-depleted area was measured and expressed as a percentage of total cortical area at the indicated days post infection (dpi). (B) Semi-quantitative counting of orexin-positive cells in the lateral hypothalamus at the indicated dpi following MA10 infection. Individual symbols represent biologically independent animals. Data are shown as mean ± s.e.m. </w:t>
      </w: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Statistical significance was determined using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 xml:space="preserve">a </w:t>
      </w: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two-tailed unpaired Student’s t-test (A) or one-way ANOVA with Dunnett’s multiple comparison test (B). </w:t>
      </w:r>
      <w:r w:rsidRPr="00234FC8">
        <w:rPr>
          <w:rFonts w:ascii="Times New Roman" w:eastAsia="Malgun Gothic" w:hAnsi="Times New Roman" w:cs="Times New Roman" w:hint="eastAsia"/>
          <w:sz w:val="24"/>
          <w:szCs w:val="24"/>
          <w:lang w:eastAsia="ko-KR"/>
        </w:rPr>
        <w:t>The e</w:t>
      </w: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xact </w:t>
      </w:r>
      <w:r w:rsidRPr="00234FC8">
        <w:rPr>
          <w:rFonts w:ascii="Times New Roman" w:eastAsia="Malgun Gothic" w:hAnsi="Times New Roman" w:cs="Times New Roman"/>
          <w:i/>
          <w:iCs/>
          <w:sz w:val="24"/>
          <w:szCs w:val="24"/>
          <w:lang w:eastAsia="ko-KR"/>
        </w:rPr>
        <w:t>P</w:t>
      </w:r>
      <w:r w:rsidRPr="00234FC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values are indicated.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sz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lang w:eastAsia="ko-KR"/>
        </w:rPr>
      </w:pP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noProof/>
          <w:sz w:val="24"/>
        </w:rPr>
        <w:drawing>
          <wp:inline distT="0" distB="0" distL="0" distR="0" wp14:anchorId="423A299F" wp14:editId="4C5BA089">
            <wp:extent cx="5934075" cy="2619375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bCs/>
          <w:sz w:val="24"/>
          <w:szCs w:val="24"/>
          <w:lang w:eastAsia="ko-KR"/>
        </w:rPr>
        <w:t>Supplementary</w:t>
      </w:r>
      <w:r w:rsidRPr="00234FC8">
        <w:rPr>
          <w:rFonts w:ascii="Times New Roman" w:eastAsia="Malgun Gothic" w:hAnsi="Times New Roman" w:cs="Times New Roman"/>
          <w:b/>
          <w:bCs/>
          <w:sz w:val="24"/>
          <w:lang w:eastAsia="ko-KR"/>
        </w:rPr>
        <w:t xml:space="preserve"> Fig</w:t>
      </w:r>
      <w:r w:rsidRPr="00234FC8">
        <w:rPr>
          <w:rFonts w:ascii="Times New Roman" w:eastAsia="Malgun Gothic" w:hAnsi="Times New Roman" w:cs="Times New Roman" w:hint="eastAsia"/>
          <w:b/>
          <w:bCs/>
          <w:sz w:val="24"/>
          <w:lang w:eastAsia="ko-KR"/>
        </w:rPr>
        <w:t>ure 10.</w:t>
      </w:r>
      <w:r w:rsidRPr="00234FC8">
        <w:rPr>
          <w:rFonts w:ascii="Times New Roman" w:eastAsia="Malgun Gothic" w:hAnsi="Times New Roman" w:cs="Times New Roman"/>
          <w:b/>
          <w:bCs/>
          <w:sz w:val="24"/>
          <w:lang w:eastAsia="ko-KR"/>
        </w:rPr>
        <w:t xml:space="preserve"> SARS-CoV-2 infection permits robust viral replication but does not deplete NeuN protein in human iPSC-derived glutamatergic neurons.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sz w:val="24"/>
          <w:lang w:eastAsia="ko-KR"/>
        </w:rPr>
        <w:t>(A)</w:t>
      </w:r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 Schematic of the experimental timeline. Human iPSC-derived glutamatergic neurons were infected with SARS-CoV-2 at a multiplicity of infection (MOI) of 1. Cells were harvested at 72 </w:t>
      </w:r>
      <w:bookmarkStart w:id="0" w:name="OLE_LINK2"/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h post-infection (hpi) </w:t>
      </w:r>
      <w:bookmarkEnd w:id="0"/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for analysis. </w:t>
      </w:r>
      <w:r w:rsidRPr="00234FC8">
        <w:rPr>
          <w:rFonts w:ascii="Times New Roman" w:eastAsia="Malgun Gothic" w:hAnsi="Times New Roman" w:cs="Times New Roman" w:hint="eastAsia"/>
          <w:sz w:val="24"/>
          <w:lang w:eastAsia="ko-KR"/>
        </w:rPr>
        <w:t>(B)</w:t>
      </w:r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 Quantification of intracellular SARS-CoV-2 viral RNA loads </w:t>
      </w:r>
      <w:r w:rsidRPr="00234FC8">
        <w:rPr>
          <w:rFonts w:ascii="Times New Roman" w:eastAsia="Malgun Gothic" w:hAnsi="Times New Roman" w:cs="Times New Roman" w:hint="eastAsia"/>
          <w:sz w:val="24"/>
          <w:lang w:eastAsia="ko-KR"/>
        </w:rPr>
        <w:t>using</w:t>
      </w:r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 RT–qPCR at 72 hpi. Data are presented as viral RNA copies per µg of total RNA (n = 3 independent biological replicates)</w:t>
      </w:r>
      <w:r w:rsidRPr="00234FC8">
        <w:rPr>
          <w:rFonts w:ascii="Times New Roman" w:eastAsia="Malgun Gothic" w:hAnsi="Times New Roman" w:cs="Times New Roman" w:hint="eastAsia"/>
          <w:sz w:val="24"/>
          <w:lang w:eastAsia="ko-KR"/>
        </w:rPr>
        <w:t>. (C)</w:t>
      </w:r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 Western blot analysis of NeuN and SARS-CoV-2 </w:t>
      </w:r>
      <w:r w:rsidRPr="00234FC8">
        <w:rPr>
          <w:rFonts w:ascii="Times New Roman" w:eastAsia="Malgun Gothic" w:hAnsi="Times New Roman" w:cs="Times New Roman" w:hint="eastAsia"/>
          <w:sz w:val="24"/>
          <w:lang w:eastAsia="ko-KR"/>
        </w:rPr>
        <w:t>N</w:t>
      </w:r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ucleocapsid (NP) protein expression in mock and SARS-CoV-2-infected neurons at 72 hpi. </w:t>
      </w:r>
      <w:r w:rsidRPr="00234FC8">
        <w:rPr>
          <w:rFonts w:ascii="Symbol" w:eastAsia="Malgun Gothic" w:hAnsi="Symbol" w:cs="Times New Roman"/>
          <w:sz w:val="24"/>
          <w:lang w:eastAsia="ko-KR"/>
        </w:rPr>
        <w:t></w:t>
      </w:r>
      <w:r w:rsidRPr="00234FC8">
        <w:rPr>
          <w:rFonts w:ascii="Times New Roman" w:eastAsia="Malgun Gothic" w:hAnsi="Times New Roman" w:cs="Times New Roman"/>
          <w:sz w:val="24"/>
          <w:lang w:eastAsia="ko-KR"/>
        </w:rPr>
        <w:t>-</w:t>
      </w:r>
      <w:r w:rsidRPr="00234FC8">
        <w:rPr>
          <w:rFonts w:ascii="Times New Roman" w:eastAsia="Malgun Gothic" w:hAnsi="Times New Roman" w:cs="Times New Roman" w:hint="eastAsia"/>
          <w:sz w:val="24"/>
          <w:lang w:eastAsia="ko-KR"/>
        </w:rPr>
        <w:t>A</w:t>
      </w:r>
      <w:r w:rsidRPr="00234FC8">
        <w:rPr>
          <w:rFonts w:ascii="Times New Roman" w:eastAsia="Malgun Gothic" w:hAnsi="Times New Roman" w:cs="Times New Roman"/>
          <w:sz w:val="24"/>
          <w:lang w:eastAsia="ko-KR"/>
        </w:rPr>
        <w:t>ctin was used as a loading control. Representative immunoblots are shown.</w:t>
      </w:r>
      <w:r w:rsidRPr="00234FC8">
        <w:rPr>
          <w:rFonts w:ascii="Times New Roman" w:eastAsia="Malgun Gothic" w:hAnsi="Times New Roman" w:cs="Times New Roman" w:hint="eastAsia"/>
          <w:sz w:val="24"/>
          <w:lang w:eastAsia="ko-KR"/>
        </w:rPr>
        <w:t xml:space="preserve"> </w:t>
      </w:r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Data represent </w:t>
      </w:r>
      <w:r w:rsidRPr="00234FC8">
        <w:rPr>
          <w:rFonts w:ascii="Times New Roman" w:eastAsia="Malgun Gothic" w:hAnsi="Times New Roman" w:cs="Times New Roman" w:hint="eastAsia"/>
          <w:sz w:val="24"/>
          <w:lang w:eastAsia="ko-KR"/>
        </w:rPr>
        <w:t xml:space="preserve"> the </w:t>
      </w:r>
      <w:r w:rsidRPr="00234FC8">
        <w:rPr>
          <w:rFonts w:ascii="Times New Roman" w:eastAsia="Malgun Gothic" w:hAnsi="Times New Roman" w:cs="Times New Roman"/>
          <w:sz w:val="24"/>
          <w:lang w:eastAsia="ko-KR"/>
        </w:rPr>
        <w:t xml:space="preserve">mean ± s.e.m. 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sz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722A978F" wp14:editId="67054973">
            <wp:extent cx="5934075" cy="4810125"/>
            <wp:effectExtent l="0" t="0" r="0" b="952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sz w:val="24"/>
          <w:lang w:eastAsia="ko-KR"/>
        </w:rPr>
        <w:t xml:space="preserve">Supplementary Figure 11. Representative cortical TUNEL staining in K18-hACE2 mice infected with SARS-CoV-2. 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Cs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bCs/>
          <w:sz w:val="24"/>
          <w:lang w:eastAsia="ko-KR"/>
        </w:rPr>
        <w:t>DAPI, TUNEL, and merged images are shown for mock and infected cortical sections at 6 dpi after intranasal infection with 2 × 10^4 PFU SARS-CoV-2. Limited TUNEL-positive cells were detected in infected cortex. Scale bars, 25 μm.</w:t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lang w:eastAsia="ko-KR"/>
        </w:rPr>
      </w:pP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lang w:eastAsia="ko-KR"/>
        </w:rPr>
      </w:pPr>
      <w:r w:rsidRPr="00234FC8">
        <w:rPr>
          <w:rFonts w:ascii="Times New Roman" w:eastAsia="Malgun Gothic" w:hAnsi="Times New Roman" w:cs="Times New Roman"/>
          <w:b/>
          <w:bCs/>
          <w:sz w:val="24"/>
          <w:lang w:eastAsia="ko-KR"/>
        </w:rPr>
        <w:br w:type="page"/>
      </w:r>
    </w:p>
    <w:p w:rsidR="004266B4" w:rsidRPr="00234FC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lang w:eastAsia="ko-KR"/>
        </w:rPr>
      </w:pPr>
      <w:r w:rsidRPr="00234FC8">
        <w:rPr>
          <w:rFonts w:ascii="Times New Roman" w:eastAsia="Malgun Gothic" w:hAnsi="Times New Roman" w:cs="Times New Roman" w:hint="eastAsia"/>
          <w:b/>
          <w:bCs/>
          <w:sz w:val="24"/>
          <w:lang w:eastAsia="ko-KR"/>
        </w:rPr>
        <w:lastRenderedPageBreak/>
        <w:t>Supplementary Table 1. List of primers used for RT-qPCR.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"/>
        <w:gridCol w:w="3827"/>
        <w:gridCol w:w="3966"/>
      </w:tblGrid>
      <w:tr w:rsidR="004266B4" w:rsidRPr="00234FC8" w:rsidTr="00164F87">
        <w:trPr>
          <w:trHeight w:val="853"/>
          <w:tblHeader/>
        </w:trPr>
        <w:tc>
          <w:tcPr>
            <w:tcW w:w="83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Cs w:val="20"/>
                <w:lang w:eastAsia="ko-KR"/>
              </w:rPr>
            </w:pPr>
            <w:r w:rsidRPr="00234FC8">
              <w:rPr>
                <w:rFonts w:ascii="Times New Roman" w:eastAsia="Malgun Gothic" w:hAnsi="Times New Roman" w:cs="Times New Roman"/>
                <w:szCs w:val="20"/>
                <w:lang w:eastAsia="ko-KR"/>
              </w:rPr>
              <w:t>Gene</w:t>
            </w:r>
          </w:p>
        </w:tc>
        <w:tc>
          <w:tcPr>
            <w:tcW w:w="204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Cs w:val="20"/>
                <w:lang w:eastAsia="ko-KR"/>
              </w:rPr>
            </w:pPr>
            <w:r w:rsidRPr="00234FC8">
              <w:rPr>
                <w:rFonts w:ascii="Times New Roman" w:eastAsia="Malgun Gothic" w:hAnsi="Times New Roman" w:cs="Times New Roman"/>
                <w:szCs w:val="20"/>
                <w:lang w:eastAsia="ko-KR"/>
              </w:rPr>
              <w:t>Forward Primer (5'-&gt;3')</w:t>
            </w:r>
          </w:p>
        </w:tc>
        <w:tc>
          <w:tcPr>
            <w:tcW w:w="212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Cs w:val="20"/>
                <w:lang w:eastAsia="ko-KR"/>
              </w:rPr>
            </w:pPr>
            <w:r w:rsidRPr="00234FC8">
              <w:rPr>
                <w:rFonts w:ascii="Times New Roman" w:eastAsia="Malgun Gothic" w:hAnsi="Times New Roman" w:cs="Times New Roman"/>
                <w:szCs w:val="20"/>
                <w:lang w:eastAsia="ko-KR"/>
              </w:rPr>
              <w:t>Reverse Primer (5'-&gt;3')</w:t>
            </w:r>
          </w:p>
        </w:tc>
      </w:tr>
      <w:tr w:rsidR="004266B4" w:rsidRPr="00234FC8" w:rsidTr="00164F87">
        <w:tc>
          <w:tcPr>
            <w:tcW w:w="83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</w:pPr>
            <w:r w:rsidRPr="00234FC8">
              <w:rPr>
                <w:rFonts w:ascii="Times New Roman" w:eastAsia="Malgun Gothic" w:hAnsi="Times New Roman" w:cs="Times New Roman"/>
                <w:i/>
                <w:iCs/>
                <w:sz w:val="20"/>
                <w:szCs w:val="18"/>
                <w:lang w:eastAsia="ko-KR"/>
              </w:rPr>
              <w:t>Hcrt</w:t>
            </w:r>
            <w:r w:rsidRPr="00234FC8"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  <w:t xml:space="preserve"> (Mouse)</w:t>
            </w:r>
          </w:p>
        </w:tc>
        <w:tc>
          <w:tcPr>
            <w:tcW w:w="204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</w:pPr>
            <w:r w:rsidRPr="00234FC8"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  <w:t>TGC CGT CTC TAC GAA CTG TTG C</w:t>
            </w:r>
          </w:p>
        </w:tc>
        <w:tc>
          <w:tcPr>
            <w:tcW w:w="212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</w:pPr>
            <w:r w:rsidRPr="00234FC8"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  <w:t>AGC TGC GTG GTT ACC GTT GGC</w:t>
            </w:r>
          </w:p>
        </w:tc>
      </w:tr>
      <w:tr w:rsidR="004266B4" w:rsidRPr="00234FC8" w:rsidTr="00164F87">
        <w:tc>
          <w:tcPr>
            <w:tcW w:w="83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</w:pPr>
            <w:r w:rsidRPr="00234FC8">
              <w:rPr>
                <w:rFonts w:ascii="Times New Roman" w:eastAsia="Malgun Gothic" w:hAnsi="Times New Roman" w:cs="Times New Roman"/>
                <w:i/>
                <w:iCs/>
                <w:sz w:val="20"/>
                <w:szCs w:val="18"/>
                <w:lang w:eastAsia="ko-KR"/>
              </w:rPr>
              <w:t>Rbfox3</w:t>
            </w:r>
            <w:r w:rsidRPr="00234FC8"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  <w:t xml:space="preserve"> (Mouse)</w:t>
            </w:r>
          </w:p>
        </w:tc>
        <w:tc>
          <w:tcPr>
            <w:tcW w:w="204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</w:pPr>
            <w:r w:rsidRPr="00234FC8"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  <w:t>CAC CAC TCT CTT GTC CGT TTG C</w:t>
            </w:r>
          </w:p>
        </w:tc>
        <w:tc>
          <w:tcPr>
            <w:tcW w:w="212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</w:pPr>
            <w:r w:rsidRPr="00234FC8"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  <w:t>GGC TGA GCA TAT CTG TAA GCT GC</w:t>
            </w:r>
          </w:p>
        </w:tc>
      </w:tr>
      <w:tr w:rsidR="004266B4" w:rsidRPr="005B789F" w:rsidTr="00164F87">
        <w:tc>
          <w:tcPr>
            <w:tcW w:w="83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66B4" w:rsidRPr="00234FC8" w:rsidRDefault="004266B4" w:rsidP="00164F87">
            <w:pPr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</w:pPr>
            <w:r w:rsidRPr="00234FC8">
              <w:rPr>
                <w:rFonts w:ascii="Symbol" w:eastAsia="Malgun Gothic" w:hAnsi="Symbol" w:cs="Times New Roman"/>
                <w:sz w:val="20"/>
                <w:szCs w:val="18"/>
                <w:lang w:eastAsia="ko-KR"/>
              </w:rPr>
              <w:t></w:t>
            </w:r>
            <w:r w:rsidRPr="00234FC8"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  <w:t>-actin(Mouse)</w:t>
            </w:r>
          </w:p>
        </w:tc>
        <w:tc>
          <w:tcPr>
            <w:tcW w:w="204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266B4" w:rsidRPr="00234FC8" w:rsidRDefault="004266B4" w:rsidP="00164F87">
            <w:pPr>
              <w:wordWrap w:val="0"/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</w:pPr>
            <w:r w:rsidRPr="00234FC8">
              <w:rPr>
                <w:rFonts w:ascii="Times New Roman" w:eastAsia="Noto Sans KR" w:hAnsi="Times New Roman" w:cs="Times New Roman"/>
                <w:sz w:val="20"/>
                <w:szCs w:val="18"/>
              </w:rPr>
              <w:t>CAT TGC TGA CAG GAT GCA GAA GG</w:t>
            </w:r>
          </w:p>
        </w:tc>
        <w:tc>
          <w:tcPr>
            <w:tcW w:w="212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266B4" w:rsidRPr="005B789F" w:rsidRDefault="004266B4" w:rsidP="00164F87">
            <w:pPr>
              <w:wordWrap w:val="0"/>
              <w:rPr>
                <w:rFonts w:ascii="Times New Roman" w:eastAsia="Malgun Gothic" w:hAnsi="Times New Roman" w:cs="Times New Roman"/>
                <w:sz w:val="20"/>
                <w:szCs w:val="18"/>
                <w:lang w:eastAsia="ko-KR"/>
              </w:rPr>
            </w:pPr>
            <w:r w:rsidRPr="00234FC8">
              <w:rPr>
                <w:rFonts w:ascii="Times New Roman" w:eastAsia="Noto Sans KR" w:hAnsi="Times New Roman" w:cs="Times New Roman"/>
                <w:sz w:val="20"/>
                <w:szCs w:val="18"/>
              </w:rPr>
              <w:t>TGC TGG AAG GTG GAC AGT GAG G</w:t>
            </w:r>
          </w:p>
        </w:tc>
      </w:tr>
    </w:tbl>
    <w:p w:rsidR="004266B4" w:rsidRPr="00A23A18" w:rsidRDefault="004266B4" w:rsidP="004266B4">
      <w:pPr>
        <w:rPr>
          <w:rFonts w:ascii="Times New Roman" w:eastAsia="Malgun Gothic" w:hAnsi="Times New Roman" w:cs="Times New Roman"/>
          <w:b/>
          <w:bCs/>
          <w:sz w:val="24"/>
          <w:lang w:eastAsia="ko-KR"/>
        </w:rPr>
      </w:pPr>
    </w:p>
    <w:p w:rsidR="00AD4A8C" w:rsidRDefault="004266B4">
      <w:bookmarkStart w:id="1" w:name="_GoBack"/>
      <w:bookmarkEnd w:id="1"/>
    </w:p>
    <w:sectPr w:rsidR="00AD4A8C" w:rsidSect="00A74F5B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KR">
    <w:charset w:val="81"/>
    <w:family w:val="modern"/>
    <w:pitch w:val="variable"/>
    <w:sig w:usb0="30000287" w:usb1="2BDF3C10" w:usb2="00000016" w:usb3="00000000" w:csb0="002E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4782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4F5B" w:rsidRDefault="004266B4" w:rsidP="004526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A74F5B" w:rsidRDefault="004266B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B4"/>
    <w:rsid w:val="004266B4"/>
    <w:rsid w:val="009C4175"/>
    <w:rsid w:val="00B4204F"/>
    <w:rsid w:val="00DC1559"/>
    <w:rsid w:val="00DC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2105D6-3511-49AA-AE21-74556FF0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6B4"/>
    <w:pPr>
      <w:spacing w:line="480" w:lineRule="auto"/>
      <w:jc w:val="both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266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6B4"/>
    <w:rPr>
      <w:rFonts w:eastAsia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1282</Words>
  <Characters>7309</Characters>
  <Application>Microsoft Office Word</Application>
  <DocSecurity>0</DocSecurity>
  <Lines>60</Lines>
  <Paragraphs>17</Paragraphs>
  <ScaleCrop>false</ScaleCrop>
  <Company/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Leo Pacunla</dc:creator>
  <cp:keywords/>
  <dc:description/>
  <cp:lastModifiedBy>Ben Leo Pacunla</cp:lastModifiedBy>
  <cp:revision>1</cp:revision>
  <dcterms:created xsi:type="dcterms:W3CDTF">2026-04-26T22:18:00Z</dcterms:created>
  <dcterms:modified xsi:type="dcterms:W3CDTF">2026-04-26T22:18:00Z</dcterms:modified>
</cp:coreProperties>
</file>