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F798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6" w:name="_GoBack"/>
      <w:r>
        <w:rPr>
          <w:rFonts w:ascii="Times New Roman" w:hAnsi="Times New Roman" w:cs="Times New Roman"/>
          <w:b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Hyperactive basolateral amygdala mediates comorbid anxiety in chronic rhinosinusitis </w:t>
      </w:r>
    </w:p>
    <w:p w14:paraId="1719492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</w:pPr>
      <w:bookmarkStart w:id="0" w:name="_Hlk188654204"/>
      <w:r>
        <w:rPr>
          <w:rFonts w:hint="eastAsia" w:ascii="Times New Roman" w:hAnsi="Times New Roman" w:cs="Times New Roman"/>
          <w:sz w:val="24"/>
          <w:szCs w:val="24"/>
          <w:highlight w:val="none"/>
        </w:rPr>
        <w:t>Xiaojun Zhang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 b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  <w:highlight w:val="none"/>
        </w:rPr>
        <w:t>, Wensi Wu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c,#</w:t>
      </w:r>
      <w:r>
        <w:rPr>
          <w:rFonts w:ascii="Times New Roman" w:hAnsi="Times New Roman" w:cs="Times New Roman"/>
          <w:sz w:val="24"/>
          <w:szCs w:val="24"/>
          <w:highlight w:val="none"/>
        </w:rPr>
        <w:t>, Haomiao Zhao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Yimeng Chang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Xinyi Ma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Xueyun Shi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Binxiang Tang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Pin Wang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, Chen Duan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 xml:space="preserve"> a</w:t>
      </w:r>
      <w:r>
        <w:rPr>
          <w:rFonts w:ascii="Times New Roman" w:hAnsi="Times New Roman" w:cs="Times New Roman"/>
          <w:sz w:val="24"/>
          <w:szCs w:val="24"/>
          <w:highlight w:val="none"/>
        </w:rPr>
        <w:t>,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Min Jin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b,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, Xin Feng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a,*</w:t>
      </w:r>
    </w:p>
    <w:bookmarkEnd w:id="0"/>
    <w:p w14:paraId="3146961C">
      <w:pPr>
        <w:spacing w:line="360" w:lineRule="auto"/>
        <w:rPr>
          <w:rFonts w:ascii="Times New Roman" w:hAnsi="Times New Roman" w:cs="Times New Roman"/>
          <w:b/>
          <w:szCs w:val="21"/>
          <w:highlight w:val="none"/>
        </w:rPr>
      </w:pPr>
    </w:p>
    <w:p w14:paraId="26A6BC58">
      <w:pPr>
        <w:widowControl/>
        <w:jc w:val="left"/>
        <w:rPr>
          <w:highlight w:val="none"/>
        </w:rPr>
      </w:pPr>
    </w:p>
    <w:p w14:paraId="5BD23A53">
      <w:pPr>
        <w:spacing w:line="360" w:lineRule="auto"/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</w:t>
      </w:r>
      <w:r>
        <w:rPr>
          <w:rFonts w:hint="eastAsia" w:ascii="Times New Roman" w:hAnsi="Times New Roman" w:cs="Times New Roman"/>
          <w:b/>
          <w:szCs w:val="21"/>
          <w:highlight w:val="none"/>
        </w:rPr>
        <w:t xml:space="preserve"> T</w:t>
      </w:r>
      <w:r>
        <w:rPr>
          <w:rFonts w:ascii="Times New Roman" w:hAnsi="Times New Roman" w:cs="Times New Roman"/>
          <w:b/>
          <w:szCs w:val="21"/>
          <w:highlight w:val="none"/>
        </w:rPr>
        <w:t>able 1. Information of the participants recruited in the clinical studies</w:t>
      </w:r>
    </w:p>
    <w:tbl>
      <w:tblPr>
        <w:tblStyle w:val="9"/>
        <w:tblpPr w:leftFromText="180" w:rightFromText="180" w:vertAnchor="page" w:horzAnchor="margin" w:tblpXSpec="center" w:tblpY="4426"/>
        <w:tblW w:w="73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271"/>
        <w:gridCol w:w="1166"/>
        <w:gridCol w:w="1540"/>
        <w:gridCol w:w="1056"/>
      </w:tblGrid>
      <w:tr w14:paraId="3DB8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0711C43D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Characteristic</w:t>
            </w:r>
          </w:p>
        </w:tc>
        <w:tc>
          <w:tcPr>
            <w:tcW w:w="12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1C3F464E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highlight w:val="none"/>
              </w:rPr>
              <w:t>O</w:t>
            </w: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verall</w:t>
            </w:r>
          </w:p>
          <w:p w14:paraId="2D6F4D22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n=201)</w:t>
            </w:r>
          </w:p>
        </w:tc>
        <w:tc>
          <w:tcPr>
            <w:tcW w:w="11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7C6A8467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highlight w:val="none"/>
              </w:rPr>
              <w:t>Anxiety</w:t>
            </w:r>
          </w:p>
          <w:p w14:paraId="76E2E16B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n=91)</w:t>
            </w:r>
          </w:p>
        </w:tc>
        <w:tc>
          <w:tcPr>
            <w:tcW w:w="15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4BC50A6D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Non-Anxiety</w:t>
            </w:r>
          </w:p>
          <w:p w14:paraId="7DA116B5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>n=110)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 w14:paraId="6F085059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i/>
                <w:kern w:val="0"/>
                <w:szCs w:val="21"/>
                <w:highlight w:val="none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Cs w:val="21"/>
                <w:highlight w:val="none"/>
              </w:rPr>
              <w:t xml:space="preserve"> value</w:t>
            </w:r>
          </w:p>
        </w:tc>
      </w:tr>
      <w:tr w14:paraId="0581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F4CCAC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A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ge, mean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SD)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years)</w:t>
            </w:r>
          </w:p>
        </w:tc>
        <w:tc>
          <w:tcPr>
            <w:tcW w:w="1271" w:type="dxa"/>
          </w:tcPr>
          <w:p w14:paraId="74BB5EE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66" w:type="dxa"/>
          </w:tcPr>
          <w:p w14:paraId="687FC72A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43.5</w:t>
            </w:r>
          </w:p>
          <w:p w14:paraId="1E0D9CF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(16.3)</w:t>
            </w:r>
          </w:p>
        </w:tc>
        <w:tc>
          <w:tcPr>
            <w:tcW w:w="1540" w:type="dxa"/>
          </w:tcPr>
          <w:p w14:paraId="174453F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41.0</w:t>
            </w:r>
          </w:p>
          <w:p w14:paraId="2E28C6D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(15.2)</w:t>
            </w:r>
          </w:p>
        </w:tc>
        <w:tc>
          <w:tcPr>
            <w:tcW w:w="1056" w:type="dxa"/>
          </w:tcPr>
          <w:p w14:paraId="2178FD2B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0.371</w:t>
            </w:r>
          </w:p>
        </w:tc>
      </w:tr>
      <w:tr w14:paraId="7344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489D7E1F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G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ender (%)</w:t>
            </w:r>
          </w:p>
        </w:tc>
        <w:tc>
          <w:tcPr>
            <w:tcW w:w="1271" w:type="dxa"/>
          </w:tcPr>
          <w:p w14:paraId="7591381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66" w:type="dxa"/>
          </w:tcPr>
          <w:p w14:paraId="4AF8C7A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540" w:type="dxa"/>
          </w:tcPr>
          <w:p w14:paraId="25376645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056" w:type="dxa"/>
          </w:tcPr>
          <w:p w14:paraId="2FE83A21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0.541</w:t>
            </w:r>
          </w:p>
        </w:tc>
      </w:tr>
      <w:tr w14:paraId="5AFF7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C6DF0A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Male</w:t>
            </w:r>
          </w:p>
        </w:tc>
        <w:tc>
          <w:tcPr>
            <w:tcW w:w="1271" w:type="dxa"/>
          </w:tcPr>
          <w:p w14:paraId="669F073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124 (61.7)</w:t>
            </w:r>
          </w:p>
        </w:tc>
        <w:tc>
          <w:tcPr>
            <w:tcW w:w="1166" w:type="dxa"/>
          </w:tcPr>
          <w:p w14:paraId="44A3AE1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56 (61.5)</w:t>
            </w:r>
          </w:p>
        </w:tc>
        <w:tc>
          <w:tcPr>
            <w:tcW w:w="1540" w:type="dxa"/>
          </w:tcPr>
          <w:p w14:paraId="57EDCA5A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68 (61.8)</w:t>
            </w:r>
          </w:p>
        </w:tc>
        <w:tc>
          <w:tcPr>
            <w:tcW w:w="1056" w:type="dxa"/>
          </w:tcPr>
          <w:p w14:paraId="4648C31E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5630C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6559A76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F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emale</w:t>
            </w:r>
          </w:p>
        </w:tc>
        <w:tc>
          <w:tcPr>
            <w:tcW w:w="1271" w:type="dxa"/>
          </w:tcPr>
          <w:p w14:paraId="4CDF4075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77 (38.3)</w:t>
            </w:r>
          </w:p>
        </w:tc>
        <w:tc>
          <w:tcPr>
            <w:tcW w:w="1166" w:type="dxa"/>
          </w:tcPr>
          <w:p w14:paraId="6081938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35 (38.5)</w:t>
            </w:r>
          </w:p>
        </w:tc>
        <w:tc>
          <w:tcPr>
            <w:tcW w:w="1540" w:type="dxa"/>
          </w:tcPr>
          <w:p w14:paraId="7CE3F20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42 (38.2)</w:t>
            </w:r>
          </w:p>
        </w:tc>
        <w:tc>
          <w:tcPr>
            <w:tcW w:w="1056" w:type="dxa"/>
          </w:tcPr>
          <w:p w14:paraId="52DCB73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71CF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E112623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H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eight, mean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SD)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cm)</w:t>
            </w:r>
          </w:p>
        </w:tc>
        <w:tc>
          <w:tcPr>
            <w:tcW w:w="1271" w:type="dxa"/>
          </w:tcPr>
          <w:p w14:paraId="762C4BD1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66" w:type="dxa"/>
          </w:tcPr>
          <w:p w14:paraId="513737B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167.6</w:t>
            </w:r>
          </w:p>
          <w:p w14:paraId="4E6FAD4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(9.1)</w:t>
            </w:r>
          </w:p>
        </w:tc>
        <w:tc>
          <w:tcPr>
            <w:tcW w:w="1540" w:type="dxa"/>
          </w:tcPr>
          <w:p w14:paraId="2205E5B3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167.4</w:t>
            </w:r>
          </w:p>
          <w:p w14:paraId="4E3A921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(10.3)</w:t>
            </w:r>
          </w:p>
        </w:tc>
        <w:tc>
          <w:tcPr>
            <w:tcW w:w="1056" w:type="dxa"/>
            <w:vAlign w:val="center"/>
          </w:tcPr>
          <w:p w14:paraId="512436D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0.521</w:t>
            </w:r>
          </w:p>
        </w:tc>
      </w:tr>
      <w:tr w14:paraId="7EE8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900882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B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ody weight, mean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SD)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kg)</w:t>
            </w:r>
          </w:p>
        </w:tc>
        <w:tc>
          <w:tcPr>
            <w:tcW w:w="1271" w:type="dxa"/>
          </w:tcPr>
          <w:p w14:paraId="67E755A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66" w:type="dxa"/>
          </w:tcPr>
          <w:p w14:paraId="6D040B0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70.6</w:t>
            </w:r>
          </w:p>
          <w:p w14:paraId="6D38E5EA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(16.2)</w:t>
            </w:r>
          </w:p>
        </w:tc>
        <w:tc>
          <w:tcPr>
            <w:tcW w:w="1540" w:type="dxa"/>
          </w:tcPr>
          <w:p w14:paraId="3EC6FD4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72.4</w:t>
            </w:r>
          </w:p>
          <w:p w14:paraId="4BE012B1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(19.3)</w:t>
            </w:r>
          </w:p>
        </w:tc>
        <w:tc>
          <w:tcPr>
            <w:tcW w:w="1056" w:type="dxa"/>
            <w:vAlign w:val="center"/>
          </w:tcPr>
          <w:p w14:paraId="4EE0B891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0.839</w:t>
            </w:r>
          </w:p>
        </w:tc>
      </w:tr>
      <w:tr w14:paraId="3CB8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841AE1B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B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MI, mean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SD)</w:t>
            </w:r>
          </w:p>
        </w:tc>
        <w:tc>
          <w:tcPr>
            <w:tcW w:w="1271" w:type="dxa"/>
          </w:tcPr>
          <w:p w14:paraId="5C8DA64D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66" w:type="dxa"/>
          </w:tcPr>
          <w:p w14:paraId="11BBDB5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24.9</w:t>
            </w:r>
          </w:p>
          <w:p w14:paraId="160D0C7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(4.5)</w:t>
            </w:r>
          </w:p>
        </w:tc>
        <w:tc>
          <w:tcPr>
            <w:tcW w:w="1540" w:type="dxa"/>
          </w:tcPr>
          <w:p w14:paraId="0D68C6D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25.6</w:t>
            </w:r>
          </w:p>
          <w:p w14:paraId="5793F6E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(5.4)</w:t>
            </w:r>
          </w:p>
        </w:tc>
        <w:tc>
          <w:tcPr>
            <w:tcW w:w="1056" w:type="dxa"/>
            <w:vAlign w:val="center"/>
          </w:tcPr>
          <w:p w14:paraId="6AAAD56E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0.709</w:t>
            </w:r>
          </w:p>
        </w:tc>
      </w:tr>
      <w:tr w14:paraId="1E02A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3D8D21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H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ypertension</w:t>
            </w:r>
          </w:p>
        </w:tc>
        <w:tc>
          <w:tcPr>
            <w:tcW w:w="1271" w:type="dxa"/>
          </w:tcPr>
          <w:p w14:paraId="62EEC9C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29</w:t>
            </w:r>
          </w:p>
        </w:tc>
        <w:tc>
          <w:tcPr>
            <w:tcW w:w="1166" w:type="dxa"/>
          </w:tcPr>
          <w:p w14:paraId="3BDA763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16 </w:t>
            </w:r>
          </w:p>
        </w:tc>
        <w:tc>
          <w:tcPr>
            <w:tcW w:w="1540" w:type="dxa"/>
          </w:tcPr>
          <w:p w14:paraId="3F4959C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13</w:t>
            </w:r>
          </w:p>
        </w:tc>
        <w:tc>
          <w:tcPr>
            <w:tcW w:w="1056" w:type="dxa"/>
          </w:tcPr>
          <w:p w14:paraId="37F46FA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.500</w:t>
            </w:r>
          </w:p>
        </w:tc>
      </w:tr>
      <w:tr w14:paraId="171F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56D1955A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D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iabetes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 </w:t>
            </w:r>
          </w:p>
        </w:tc>
        <w:tc>
          <w:tcPr>
            <w:tcW w:w="1271" w:type="dxa"/>
          </w:tcPr>
          <w:p w14:paraId="008A5BFE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1166" w:type="dxa"/>
          </w:tcPr>
          <w:p w14:paraId="1CAD2CC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40" w:type="dxa"/>
          </w:tcPr>
          <w:p w14:paraId="59A9EC3F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1056" w:type="dxa"/>
          </w:tcPr>
          <w:p w14:paraId="2F2A44E5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.169</w:t>
            </w:r>
          </w:p>
        </w:tc>
      </w:tr>
      <w:tr w14:paraId="6ADB5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67C03C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Coronary heart disease</w:t>
            </w:r>
          </w:p>
        </w:tc>
        <w:tc>
          <w:tcPr>
            <w:tcW w:w="1271" w:type="dxa"/>
          </w:tcPr>
          <w:p w14:paraId="5C922E2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1166" w:type="dxa"/>
          </w:tcPr>
          <w:p w14:paraId="3074F88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1540" w:type="dxa"/>
          </w:tcPr>
          <w:p w14:paraId="65B8997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1056" w:type="dxa"/>
          </w:tcPr>
          <w:p w14:paraId="10C61C6B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0.385</w:t>
            </w:r>
          </w:p>
        </w:tc>
      </w:tr>
      <w:tr w14:paraId="370CB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03FA145D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CRS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w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NP</w:t>
            </w:r>
          </w:p>
        </w:tc>
        <w:tc>
          <w:tcPr>
            <w:tcW w:w="1271" w:type="dxa"/>
          </w:tcPr>
          <w:p w14:paraId="2C2A789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27</w:t>
            </w:r>
          </w:p>
        </w:tc>
        <w:tc>
          <w:tcPr>
            <w:tcW w:w="1166" w:type="dxa"/>
          </w:tcPr>
          <w:p w14:paraId="047D5638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1540" w:type="dxa"/>
          </w:tcPr>
          <w:p w14:paraId="05CCD92B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70</w:t>
            </w:r>
          </w:p>
        </w:tc>
        <w:tc>
          <w:tcPr>
            <w:tcW w:w="1056" w:type="dxa"/>
            <w:vMerge w:val="restart"/>
            <w:vAlign w:val="center"/>
          </w:tcPr>
          <w:p w14:paraId="26148B2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.500</w:t>
            </w:r>
          </w:p>
        </w:tc>
      </w:tr>
      <w:tr w14:paraId="2CCA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CC2369E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C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RSsNP</w:t>
            </w:r>
          </w:p>
        </w:tc>
        <w:tc>
          <w:tcPr>
            <w:tcW w:w="1271" w:type="dxa"/>
          </w:tcPr>
          <w:p w14:paraId="3C818CCA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7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1166" w:type="dxa"/>
          </w:tcPr>
          <w:p w14:paraId="024909A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1540" w:type="dxa"/>
          </w:tcPr>
          <w:p w14:paraId="7851C07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1056" w:type="dxa"/>
            <w:vMerge w:val="continue"/>
          </w:tcPr>
          <w:p w14:paraId="154373B6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49A1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FCA6263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 xml:space="preserve">Eosinophilic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type</w:t>
            </w:r>
          </w:p>
        </w:tc>
        <w:tc>
          <w:tcPr>
            <w:tcW w:w="1271" w:type="dxa"/>
          </w:tcPr>
          <w:p w14:paraId="57DDE083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101</w:t>
            </w:r>
          </w:p>
        </w:tc>
        <w:tc>
          <w:tcPr>
            <w:tcW w:w="1166" w:type="dxa"/>
          </w:tcPr>
          <w:p w14:paraId="5AC8640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49</w:t>
            </w:r>
          </w:p>
        </w:tc>
        <w:tc>
          <w:tcPr>
            <w:tcW w:w="1540" w:type="dxa"/>
          </w:tcPr>
          <w:p w14:paraId="18A22EE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52</w:t>
            </w:r>
          </w:p>
        </w:tc>
        <w:tc>
          <w:tcPr>
            <w:tcW w:w="1056" w:type="dxa"/>
            <w:vMerge w:val="restart"/>
            <w:vAlign w:val="center"/>
          </w:tcPr>
          <w:p w14:paraId="786F95E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.216</w:t>
            </w:r>
          </w:p>
        </w:tc>
      </w:tr>
      <w:tr w14:paraId="1775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9FDF4F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n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on-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Eosinophilic type</w:t>
            </w:r>
          </w:p>
        </w:tc>
        <w:tc>
          <w:tcPr>
            <w:tcW w:w="1271" w:type="dxa"/>
          </w:tcPr>
          <w:p w14:paraId="52BC3670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00</w:t>
            </w:r>
          </w:p>
        </w:tc>
        <w:tc>
          <w:tcPr>
            <w:tcW w:w="1166" w:type="dxa"/>
          </w:tcPr>
          <w:p w14:paraId="5D7C0249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40" w:type="dxa"/>
          </w:tcPr>
          <w:p w14:paraId="158FC8F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1056" w:type="dxa"/>
            <w:vMerge w:val="continue"/>
          </w:tcPr>
          <w:p w14:paraId="4F8E693B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73C9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1F2FCD4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A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</w:rPr>
              <w:t>sthma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F2A4A12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7532BC7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75F57DC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664C441">
            <w:pPr>
              <w:spacing w:line="360" w:lineRule="auto"/>
              <w:rPr>
                <w:rFonts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0.246</w:t>
            </w:r>
          </w:p>
        </w:tc>
      </w:tr>
    </w:tbl>
    <w:p w14:paraId="4718B58E">
      <w:pPr>
        <w:widowControl/>
        <w:jc w:val="left"/>
        <w:rPr>
          <w:highlight w:val="none"/>
        </w:rPr>
      </w:pPr>
      <w:r>
        <w:rPr>
          <w:highlight w:val="none"/>
        </w:rPr>
        <w:br w:type="page"/>
      </w:r>
    </w:p>
    <w:p w14:paraId="34A5B228">
      <w:pPr>
        <w:widowControl/>
        <w:jc w:val="left"/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 xml:space="preserve">Supplementary </w:t>
      </w:r>
      <w:r>
        <w:rPr>
          <w:rFonts w:hint="eastAsia" w:ascii="Times New Roman" w:hAnsi="Times New Roman" w:cs="Times New Roman"/>
          <w:b/>
          <w:szCs w:val="21"/>
          <w:highlight w:val="none"/>
        </w:rPr>
        <w:t>T</w:t>
      </w:r>
      <w:r>
        <w:rPr>
          <w:rFonts w:ascii="Times New Roman" w:hAnsi="Times New Roman" w:cs="Times New Roman"/>
          <w:b/>
          <w:szCs w:val="21"/>
          <w:highlight w:val="none"/>
        </w:rPr>
        <w:t>able 2.</w:t>
      </w:r>
      <w:r>
        <w:rPr>
          <w:b/>
          <w:highlight w:val="none"/>
        </w:rPr>
        <w:t xml:space="preserve"> </w:t>
      </w:r>
      <w:r>
        <w:rPr>
          <w:rFonts w:ascii="Times New Roman" w:hAnsi="Times New Roman" w:cs="Times New Roman"/>
          <w:b/>
          <w:szCs w:val="21"/>
          <w:highlight w:val="none"/>
        </w:rPr>
        <w:t>The 20 brain regions for c-FOS analysis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684"/>
        <w:gridCol w:w="1341"/>
      </w:tblGrid>
      <w:tr w14:paraId="13A5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78B1EAC"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number</w:t>
            </w:r>
          </w:p>
        </w:tc>
        <w:tc>
          <w:tcPr>
            <w:tcW w:w="5684" w:type="dxa"/>
          </w:tcPr>
          <w:p w14:paraId="3BB0558B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brain region</w:t>
            </w:r>
          </w:p>
        </w:tc>
        <w:tc>
          <w:tcPr>
            <w:tcW w:w="1341" w:type="dxa"/>
          </w:tcPr>
          <w:p w14:paraId="16038365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abbreviation</w:t>
            </w:r>
          </w:p>
        </w:tc>
      </w:tr>
      <w:tr w14:paraId="314D1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96CDDD7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5684" w:type="dxa"/>
          </w:tcPr>
          <w:p w14:paraId="36AD1E0E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anterior cingulate cortex</w:t>
            </w:r>
          </w:p>
        </w:tc>
        <w:tc>
          <w:tcPr>
            <w:tcW w:w="1341" w:type="dxa"/>
          </w:tcPr>
          <w:p w14:paraId="7569C633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ACC</w:t>
            </w:r>
          </w:p>
        </w:tc>
      </w:tr>
      <w:tr w14:paraId="24C6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EF13536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5684" w:type="dxa"/>
          </w:tcPr>
          <w:p w14:paraId="78F44DFA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prelimbic cortex</w:t>
            </w:r>
          </w:p>
        </w:tc>
        <w:tc>
          <w:tcPr>
            <w:tcW w:w="1341" w:type="dxa"/>
          </w:tcPr>
          <w:p w14:paraId="00304D2D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PL</w:t>
            </w:r>
          </w:p>
        </w:tc>
      </w:tr>
      <w:tr w14:paraId="264F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D092B65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</w:t>
            </w:r>
          </w:p>
        </w:tc>
        <w:tc>
          <w:tcPr>
            <w:tcW w:w="5684" w:type="dxa"/>
          </w:tcPr>
          <w:p w14:paraId="49F76DDE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infralimbic cortex</w:t>
            </w:r>
          </w:p>
        </w:tc>
        <w:tc>
          <w:tcPr>
            <w:tcW w:w="1341" w:type="dxa"/>
          </w:tcPr>
          <w:p w14:paraId="58D69D1A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IL</w:t>
            </w:r>
          </w:p>
        </w:tc>
      </w:tr>
      <w:tr w14:paraId="28D8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EDD4896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</w:t>
            </w:r>
          </w:p>
        </w:tc>
        <w:tc>
          <w:tcPr>
            <w:tcW w:w="5684" w:type="dxa"/>
          </w:tcPr>
          <w:p w14:paraId="6F99DA2C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accumbens nucleus, core</w:t>
            </w:r>
          </w:p>
        </w:tc>
        <w:tc>
          <w:tcPr>
            <w:tcW w:w="1341" w:type="dxa"/>
          </w:tcPr>
          <w:p w14:paraId="6ABF8816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"/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AcbC</w:t>
            </w:r>
            <w:bookmarkEnd w:id="1"/>
          </w:p>
        </w:tc>
      </w:tr>
      <w:tr w14:paraId="21E6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A10200C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5684" w:type="dxa"/>
          </w:tcPr>
          <w:p w14:paraId="24F3B5F3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accumbens nucleus, shell</w:t>
            </w:r>
          </w:p>
        </w:tc>
        <w:tc>
          <w:tcPr>
            <w:tcW w:w="1341" w:type="dxa"/>
          </w:tcPr>
          <w:p w14:paraId="0CEF4D8B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2"/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AcbSh</w:t>
            </w:r>
            <w:bookmarkEnd w:id="2"/>
          </w:p>
        </w:tc>
      </w:tr>
      <w:tr w14:paraId="5DCF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2D995F8A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</w:t>
            </w:r>
          </w:p>
        </w:tc>
        <w:tc>
          <w:tcPr>
            <w:tcW w:w="5684" w:type="dxa"/>
          </w:tcPr>
          <w:p w14:paraId="3CA3AA86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caudate putamen</w:t>
            </w:r>
          </w:p>
        </w:tc>
        <w:tc>
          <w:tcPr>
            <w:tcW w:w="1341" w:type="dxa"/>
          </w:tcPr>
          <w:p w14:paraId="0639B3F9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CP</w:t>
            </w:r>
          </w:p>
        </w:tc>
      </w:tr>
      <w:tr w14:paraId="2180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23A305A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</w:t>
            </w:r>
          </w:p>
        </w:tc>
        <w:tc>
          <w:tcPr>
            <w:tcW w:w="5684" w:type="dxa"/>
          </w:tcPr>
          <w:p w14:paraId="6131A9F0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lateral septal nucleus</w:t>
            </w:r>
          </w:p>
        </w:tc>
        <w:tc>
          <w:tcPr>
            <w:tcW w:w="1341" w:type="dxa"/>
          </w:tcPr>
          <w:p w14:paraId="279D8717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LS</w:t>
            </w:r>
          </w:p>
        </w:tc>
      </w:tr>
      <w:tr w14:paraId="4EEE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CA64BBE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8</w:t>
            </w:r>
          </w:p>
        </w:tc>
        <w:tc>
          <w:tcPr>
            <w:tcW w:w="5684" w:type="dxa"/>
          </w:tcPr>
          <w:p w14:paraId="08C76327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nucleus of the vertical limb of the diagonal band</w:t>
            </w:r>
          </w:p>
        </w:tc>
        <w:tc>
          <w:tcPr>
            <w:tcW w:w="1341" w:type="dxa"/>
          </w:tcPr>
          <w:p w14:paraId="14ADD00D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3"/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nVDB</w:t>
            </w:r>
            <w:bookmarkEnd w:id="3"/>
          </w:p>
        </w:tc>
      </w:tr>
      <w:tr w14:paraId="3B15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78CA56A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</w:t>
            </w:r>
          </w:p>
        </w:tc>
        <w:tc>
          <w:tcPr>
            <w:tcW w:w="5684" w:type="dxa"/>
          </w:tcPr>
          <w:p w14:paraId="65DE288E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bed nucleus of stria terminalis</w:t>
            </w:r>
          </w:p>
        </w:tc>
        <w:tc>
          <w:tcPr>
            <w:tcW w:w="1341" w:type="dxa"/>
          </w:tcPr>
          <w:p w14:paraId="3C0C50F0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BNST</w:t>
            </w:r>
          </w:p>
        </w:tc>
      </w:tr>
      <w:tr w14:paraId="7222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7228C1C5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10</w:t>
            </w:r>
          </w:p>
        </w:tc>
        <w:tc>
          <w:tcPr>
            <w:tcW w:w="5684" w:type="dxa"/>
          </w:tcPr>
          <w:p w14:paraId="5E3FC81B">
            <w:pPr>
              <w:tabs>
                <w:tab w:val="left" w:pos="3919"/>
              </w:tabs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retrosplenial granular cortex</w:t>
            </w:r>
          </w:p>
        </w:tc>
        <w:tc>
          <w:tcPr>
            <w:tcW w:w="1341" w:type="dxa"/>
          </w:tcPr>
          <w:p w14:paraId="2D86E018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4"/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RSGc</w:t>
            </w:r>
            <w:bookmarkEnd w:id="4"/>
          </w:p>
        </w:tc>
      </w:tr>
      <w:tr w14:paraId="41CE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C47E2EB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</w:t>
            </w:r>
          </w:p>
        </w:tc>
        <w:tc>
          <w:tcPr>
            <w:tcW w:w="5684" w:type="dxa"/>
          </w:tcPr>
          <w:p w14:paraId="00E68E66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lateral habenular nucleus</w:t>
            </w:r>
          </w:p>
        </w:tc>
        <w:tc>
          <w:tcPr>
            <w:tcW w:w="1341" w:type="dxa"/>
          </w:tcPr>
          <w:p w14:paraId="6F244C7E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LHb</w:t>
            </w:r>
          </w:p>
        </w:tc>
      </w:tr>
      <w:tr w14:paraId="5911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531DAB7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12</w:t>
            </w:r>
          </w:p>
        </w:tc>
        <w:tc>
          <w:tcPr>
            <w:tcW w:w="5684" w:type="dxa"/>
          </w:tcPr>
          <w:p w14:paraId="58F49EA4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paraventricular thalamic nucleus</w:t>
            </w:r>
          </w:p>
        </w:tc>
        <w:tc>
          <w:tcPr>
            <w:tcW w:w="1341" w:type="dxa"/>
          </w:tcPr>
          <w:p w14:paraId="39432F82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PVT</w:t>
            </w:r>
          </w:p>
        </w:tc>
      </w:tr>
      <w:tr w14:paraId="3495F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050AB84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13</w:t>
            </w:r>
          </w:p>
        </w:tc>
        <w:tc>
          <w:tcPr>
            <w:tcW w:w="5684" w:type="dxa"/>
          </w:tcPr>
          <w:p w14:paraId="623FE97C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paraventricular nucleus</w:t>
            </w:r>
          </w:p>
        </w:tc>
        <w:tc>
          <w:tcPr>
            <w:tcW w:w="1341" w:type="dxa"/>
          </w:tcPr>
          <w:p w14:paraId="2D5ED5BA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PVN</w:t>
            </w:r>
          </w:p>
        </w:tc>
      </w:tr>
      <w:tr w14:paraId="61DAD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A78E9E1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14</w:t>
            </w:r>
          </w:p>
        </w:tc>
        <w:tc>
          <w:tcPr>
            <w:tcW w:w="5684" w:type="dxa"/>
          </w:tcPr>
          <w:p w14:paraId="5F0B60CC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reuniens thalamic nucleus</w:t>
            </w:r>
          </w:p>
        </w:tc>
        <w:tc>
          <w:tcPr>
            <w:tcW w:w="1341" w:type="dxa"/>
          </w:tcPr>
          <w:p w14:paraId="0DD5058E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RE</w:t>
            </w:r>
          </w:p>
        </w:tc>
      </w:tr>
      <w:tr w14:paraId="0BF47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3C1D58A4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15</w:t>
            </w:r>
          </w:p>
        </w:tc>
        <w:tc>
          <w:tcPr>
            <w:tcW w:w="5684" w:type="dxa"/>
          </w:tcPr>
          <w:p w14:paraId="03592B24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basolateral amygdaloid</w:t>
            </w:r>
          </w:p>
        </w:tc>
        <w:tc>
          <w:tcPr>
            <w:tcW w:w="1341" w:type="dxa"/>
          </w:tcPr>
          <w:p w14:paraId="1199D9DA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BLA</w:t>
            </w:r>
          </w:p>
        </w:tc>
      </w:tr>
      <w:tr w14:paraId="1483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E3035F7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16</w:t>
            </w:r>
          </w:p>
        </w:tc>
        <w:tc>
          <w:tcPr>
            <w:tcW w:w="5684" w:type="dxa"/>
          </w:tcPr>
          <w:p w14:paraId="15F34710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hippocampus</w:t>
            </w:r>
          </w:p>
        </w:tc>
        <w:tc>
          <w:tcPr>
            <w:tcW w:w="1341" w:type="dxa"/>
          </w:tcPr>
          <w:p w14:paraId="419E2C87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HPC</w:t>
            </w:r>
          </w:p>
        </w:tc>
      </w:tr>
      <w:tr w14:paraId="3A76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3ED7AF0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17</w:t>
            </w:r>
          </w:p>
        </w:tc>
        <w:tc>
          <w:tcPr>
            <w:tcW w:w="5684" w:type="dxa"/>
          </w:tcPr>
          <w:p w14:paraId="6E9F80BC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ventral tegmental area</w:t>
            </w:r>
          </w:p>
        </w:tc>
        <w:tc>
          <w:tcPr>
            <w:tcW w:w="1341" w:type="dxa"/>
          </w:tcPr>
          <w:p w14:paraId="522B5ABA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VTA</w:t>
            </w:r>
          </w:p>
        </w:tc>
      </w:tr>
      <w:tr w14:paraId="455E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860703A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18</w:t>
            </w:r>
          </w:p>
        </w:tc>
        <w:tc>
          <w:tcPr>
            <w:tcW w:w="5684" w:type="dxa"/>
          </w:tcPr>
          <w:p w14:paraId="0B61FBD6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medial periaqueductal gray</w:t>
            </w:r>
          </w:p>
        </w:tc>
        <w:tc>
          <w:tcPr>
            <w:tcW w:w="1341" w:type="dxa"/>
          </w:tcPr>
          <w:p w14:paraId="57F0E5C5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MPAG</w:t>
            </w:r>
          </w:p>
        </w:tc>
      </w:tr>
      <w:tr w14:paraId="2C0CC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8014106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19</w:t>
            </w:r>
          </w:p>
        </w:tc>
        <w:tc>
          <w:tcPr>
            <w:tcW w:w="5684" w:type="dxa"/>
          </w:tcPr>
          <w:p w14:paraId="32AFD2F0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lateral periaqueductal gray</w:t>
            </w:r>
          </w:p>
        </w:tc>
        <w:tc>
          <w:tcPr>
            <w:tcW w:w="1341" w:type="dxa"/>
          </w:tcPr>
          <w:p w14:paraId="463E285F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LPAG</w:t>
            </w:r>
          </w:p>
        </w:tc>
      </w:tr>
      <w:tr w14:paraId="6929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3025D9C"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20</w:t>
            </w:r>
          </w:p>
        </w:tc>
        <w:tc>
          <w:tcPr>
            <w:tcW w:w="5684" w:type="dxa"/>
          </w:tcPr>
          <w:p w14:paraId="041BDEE9">
            <w:pP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dorsal raphe  </w:t>
            </w:r>
          </w:p>
        </w:tc>
        <w:tc>
          <w:tcPr>
            <w:tcW w:w="1341" w:type="dxa"/>
          </w:tcPr>
          <w:p w14:paraId="25FBE92C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DR</w:t>
            </w:r>
          </w:p>
        </w:tc>
      </w:tr>
    </w:tbl>
    <w:p w14:paraId="2F004D19">
      <w:pPr>
        <w:widowControl/>
        <w:rPr>
          <w:b/>
          <w:highlight w:val="none"/>
        </w:rPr>
      </w:pPr>
    </w:p>
    <w:p w14:paraId="35EE8FA0">
      <w:pPr>
        <w:widowControl/>
        <w:jc w:val="left"/>
        <w:rPr>
          <w:b/>
          <w:highlight w:val="none"/>
        </w:rPr>
      </w:pPr>
      <w:r>
        <w:rPr>
          <w:b/>
          <w:highlight w:val="none"/>
        </w:rPr>
        <w:br w:type="page"/>
      </w:r>
    </w:p>
    <w:p w14:paraId="56CE3B5C">
      <w:pPr>
        <w:widowControl/>
        <w:jc w:val="center"/>
        <w:rPr>
          <w:b/>
          <w:highlight w:val="none"/>
        </w:rPr>
      </w:pPr>
      <w:r>
        <w:rPr>
          <w:highlight w:val="none"/>
        </w:rPr>
        <w:drawing>
          <wp:inline distT="0" distB="0" distL="0" distR="0">
            <wp:extent cx="3645535" cy="35267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1475" cy="353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9ED84">
      <w:pPr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 xml:space="preserve">Supplementary Figure 1. Participant flow diagram for </w:t>
      </w:r>
      <w:r>
        <w:rPr>
          <w:rFonts w:hint="eastAsia" w:ascii="Times New Roman" w:hAnsi="Times New Roman" w:cs="Times New Roman"/>
          <w:b/>
          <w:szCs w:val="21"/>
          <w:highlight w:val="none"/>
        </w:rPr>
        <w:t>this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 study</w:t>
      </w:r>
    </w:p>
    <w:p w14:paraId="01D32099">
      <w:pPr>
        <w:widowControl/>
        <w:jc w:val="left"/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br w:type="page"/>
      </w:r>
    </w:p>
    <w:p w14:paraId="361F6C0A">
      <w:pPr>
        <w:widowControl/>
        <w:jc w:val="left"/>
        <w:rPr>
          <w:b/>
          <w:highlight w:val="none"/>
        </w:rPr>
      </w:pPr>
    </w:p>
    <w:p w14:paraId="47C98AB8">
      <w:pPr>
        <w:widowControl/>
        <w:jc w:val="center"/>
        <w:rPr>
          <w:b/>
          <w:highlight w:val="none"/>
        </w:rPr>
      </w:pPr>
      <w:r>
        <w:rPr>
          <w:rFonts w:ascii="Times New Roman" w:hAnsi="Times New Roman" w:cs="Times New Roman"/>
          <w:highlight w:val="none"/>
        </w:rPr>
        <w:drawing>
          <wp:inline distT="0" distB="0" distL="0" distR="0">
            <wp:extent cx="2583180" cy="19748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627" cy="197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4D6B6">
      <w:pPr>
        <w:widowControl/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2. Body weight of mice during papain administration</w:t>
      </w:r>
    </w:p>
    <w:p w14:paraId="31205907">
      <w:pPr>
        <w:rPr>
          <w:b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 xml:space="preserve">Body weight was continuously monitored during papain administration. Data were presented as mean ± SEM. Statistical analyses were performed using two-Way ANOVA. </w:t>
      </w:r>
    </w:p>
    <w:p w14:paraId="63A3E613">
      <w:pPr>
        <w:widowControl/>
        <w:jc w:val="left"/>
        <w:rPr>
          <w:highlight w:val="none"/>
        </w:rPr>
      </w:pPr>
      <w:r>
        <w:rPr>
          <w:highlight w:val="none"/>
        </w:rPr>
        <w:br w:type="page"/>
      </w:r>
    </w:p>
    <w:p w14:paraId="4118E4CF">
      <w:pPr>
        <w:jc w:val="center"/>
        <w:rPr>
          <w:highlight w:val="none"/>
        </w:rPr>
      </w:pPr>
      <w:r>
        <w:rPr>
          <w:highlight w:val="none"/>
        </w:rPr>
        <w:drawing>
          <wp:inline distT="0" distB="0" distL="0" distR="0">
            <wp:extent cx="5274310" cy="47447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D84A">
      <w:pPr>
        <w:spacing w:line="360" w:lineRule="auto"/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3.</w:t>
      </w:r>
      <w:r>
        <w:rPr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b/>
          <w:szCs w:val="21"/>
          <w:highlight w:val="none"/>
        </w:rPr>
        <w:t>Behavioral paradigms and quantitative assessments of affective, fear-related, and social behaviors in mice</w:t>
      </w:r>
    </w:p>
    <w:p w14:paraId="17EFEEB0">
      <w:pPr>
        <w:widowControl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 xml:space="preserve">A. </w:t>
      </w:r>
      <w:r>
        <w:rPr>
          <w:rFonts w:ascii="Times New Roman" w:hAnsi="Times New Roman" w:cs="Times New Roman"/>
          <w:szCs w:val="21"/>
          <w:highlight w:val="none"/>
        </w:rPr>
        <w:t xml:space="preserve">Schematic representations of the behavioral paradigms employed, including the SPT, TST and FST.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B. </w:t>
      </w:r>
      <w:r>
        <w:rPr>
          <w:rFonts w:ascii="Times New Roman" w:hAnsi="Times New Roman" w:cs="Times New Roman"/>
          <w:szCs w:val="21"/>
          <w:highlight w:val="none"/>
        </w:rPr>
        <w:t xml:space="preserve">Behavioral outcomes derived from the SPT, expressed as sucrose preference, together with immobility durations measured during the TST and FST. </w:t>
      </w:r>
      <w:r>
        <w:rPr>
          <w:rFonts w:ascii="Times New Roman" w:hAnsi="Times New Roman" w:cs="Times New Roman"/>
          <w:b/>
          <w:szCs w:val="21"/>
          <w:highlight w:val="none"/>
        </w:rPr>
        <w:t>C.</w:t>
      </w:r>
      <w:r>
        <w:rPr>
          <w:rFonts w:ascii="Times New Roman" w:hAnsi="Times New Roman" w:cs="Times New Roman"/>
          <w:szCs w:val="21"/>
          <w:highlight w:val="none"/>
        </w:rPr>
        <w:t xml:space="preserve"> Diagrammatic overview of the fear conditioning response test.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D. </w:t>
      </w:r>
      <w:r>
        <w:rPr>
          <w:rFonts w:ascii="Times New Roman" w:hAnsi="Times New Roman" w:cs="Times New Roman"/>
          <w:szCs w:val="21"/>
          <w:highlight w:val="none"/>
        </w:rPr>
        <w:t xml:space="preserve">Freezing behavior quantified as the proportion of total recording time during the contextual and cue-associated phases of the FCR test.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E. </w:t>
      </w:r>
      <w:r>
        <w:rPr>
          <w:rFonts w:ascii="Times New Roman" w:hAnsi="Times New Roman" w:cs="Times New Roman"/>
          <w:szCs w:val="21"/>
          <w:highlight w:val="none"/>
        </w:rPr>
        <w:t xml:space="preserve">Representative locomotor trajectories illustrating exploratory behavior during the sociability phase of the three-chamber social interaction assay.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F. </w:t>
      </w:r>
      <w:r>
        <w:rPr>
          <w:rFonts w:ascii="Times New Roman" w:hAnsi="Times New Roman" w:cs="Times New Roman"/>
          <w:szCs w:val="21"/>
          <w:highlight w:val="none"/>
        </w:rPr>
        <w:t>Quantification of time spent in each chamber during the sociability phase.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 G.</w:t>
      </w:r>
      <w:r>
        <w:rPr>
          <w:rFonts w:ascii="Times New Roman" w:hAnsi="Times New Roman" w:cs="Times New Roman"/>
          <w:szCs w:val="21"/>
          <w:highlight w:val="none"/>
        </w:rPr>
        <w:t xml:space="preserve">  Representative locomotor trajectories depicting behavior during the social novelty phase.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H. </w:t>
      </w:r>
      <w:r>
        <w:rPr>
          <w:rFonts w:ascii="Times New Roman" w:hAnsi="Times New Roman" w:cs="Times New Roman"/>
          <w:szCs w:val="21"/>
          <w:highlight w:val="none"/>
        </w:rPr>
        <w:t xml:space="preserve">Time spent in each chamber during the social novelty phase of the three-chamber assay. n=10 mice per group. Data were presented as mean ± SEM. Statistical analyses were performed using unpaired </w:t>
      </w:r>
      <w:r>
        <w:rPr>
          <w:rFonts w:ascii="Times New Roman" w:hAnsi="Times New Roman" w:cs="Times New Roman"/>
          <w:i/>
          <w:szCs w:val="21"/>
          <w:highlight w:val="none"/>
        </w:rPr>
        <w:t>t</w:t>
      </w:r>
      <w:r>
        <w:rPr>
          <w:rFonts w:ascii="Times New Roman" w:hAnsi="Times New Roman" w:cs="Times New Roman"/>
          <w:szCs w:val="21"/>
          <w:highlight w:val="none"/>
        </w:rPr>
        <w:t>-test (</w:t>
      </w:r>
      <w:r>
        <w:rPr>
          <w:rFonts w:hint="eastAsia" w:ascii="Times New Roman" w:hAnsi="Times New Roman" w:cs="Times New Roman"/>
          <w:szCs w:val="21"/>
          <w:highlight w:val="none"/>
        </w:rPr>
        <w:t>B</w:t>
      </w:r>
      <w:r>
        <w:rPr>
          <w:rFonts w:ascii="Times New Roman" w:hAnsi="Times New Roman" w:cs="Times New Roman"/>
          <w:szCs w:val="21"/>
          <w:highlight w:val="none"/>
        </w:rPr>
        <w:t xml:space="preserve">, D) and one-way ANOVA (F, H).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***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> &lt; 0.001, n.s. represents no significance.</w:t>
      </w:r>
    </w:p>
    <w:p w14:paraId="687D624B"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br w:type="page"/>
      </w:r>
    </w:p>
    <w:p w14:paraId="5F93C97B">
      <w:pPr>
        <w:jc w:val="center"/>
        <w:rPr>
          <w:b/>
          <w:highlight w:val="none"/>
        </w:rPr>
      </w:pPr>
      <w:r>
        <w:rPr>
          <w:b/>
          <w:highlight w:val="none"/>
        </w:rPr>
        <w:drawing>
          <wp:inline distT="0" distB="0" distL="0" distR="0">
            <wp:extent cx="5274310" cy="3132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B037">
      <w:pPr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4. Pathology determination of mice following three months of drug administration</w:t>
      </w:r>
    </w:p>
    <w:p w14:paraId="1D7E1249">
      <w:pPr>
        <w:spacing w:line="360" w:lineRule="auto"/>
        <w:rPr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A.</w:t>
      </w:r>
      <w:r>
        <w:rPr>
          <w:rFonts w:ascii="Times New Roman" w:hAnsi="Times New Roman" w:cs="Times New Roman"/>
          <w:szCs w:val="21"/>
          <w:highlight w:val="none"/>
        </w:rPr>
        <w:t xml:space="preserve"> Representative </w:t>
      </w:r>
      <w:r>
        <w:rPr>
          <w:rFonts w:hint="eastAsia" w:ascii="Times New Roman" w:hAnsi="Times New Roman" w:cs="Times New Roman"/>
          <w:szCs w:val="21"/>
          <w:highlight w:val="none"/>
        </w:rPr>
        <w:t>nasal</w:t>
      </w:r>
      <w:r>
        <w:rPr>
          <w:rFonts w:ascii="Times New Roman" w:hAnsi="Times New Roman" w:cs="Times New Roman"/>
          <w:szCs w:val="21"/>
          <w:highlight w:val="none"/>
        </w:rPr>
        <w:t xml:space="preserve"> tissue eosinophil staining images (indicated by the white arrow); scale bar, 20 μm</w:t>
      </w:r>
      <w:r>
        <w:rPr>
          <w:rFonts w:hint="eastAsia" w:ascii="Times New Roman" w:hAnsi="Times New Roman" w:cs="Times New Roman"/>
          <w:szCs w:val="21"/>
          <w:highlight w:val="none"/>
        </w:rPr>
        <w:t>.</w:t>
      </w:r>
      <w:r>
        <w:rPr>
          <w:rFonts w:ascii="Times New Roman" w:hAnsi="Times New Roman" w:cs="Times New Roman"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b/>
          <w:szCs w:val="21"/>
          <w:highlight w:val="none"/>
        </w:rPr>
        <w:t>B.</w:t>
      </w:r>
      <w:r>
        <w:rPr>
          <w:rFonts w:ascii="Times New Roman" w:hAnsi="Times New Roman" w:cs="Times New Roman"/>
          <w:szCs w:val="21"/>
          <w:highlight w:val="none"/>
        </w:rPr>
        <w:t xml:space="preserve"> Quantification of eosinophils in IF staining. </w:t>
      </w:r>
      <w:r>
        <w:rPr>
          <w:rFonts w:ascii="Times New Roman" w:hAnsi="Times New Roman" w:cs="Times New Roman"/>
          <w:b/>
          <w:szCs w:val="21"/>
          <w:highlight w:val="none"/>
        </w:rPr>
        <w:t>C-E.</w:t>
      </w:r>
      <w:r>
        <w:rPr>
          <w:rFonts w:ascii="Times New Roman" w:hAnsi="Times New Roman" w:cs="Times New Roman"/>
          <w:szCs w:val="21"/>
          <w:highlight w:val="none"/>
        </w:rPr>
        <w:t xml:space="preserve"> Cytokines levels of IL-4, IL-5, and IL-13 in NALF. Data were presented as mean ± SEM. Statistical analyses were performed using One-Way ANOVA.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</w:t>
      </w:r>
      <w:r>
        <w:rPr>
          <w:rFonts w:ascii="Times New Roman" w:hAnsi="Times New Roman" w:cs="Times New Roman"/>
          <w:szCs w:val="21"/>
          <w:highlight w:val="none"/>
        </w:rPr>
        <w:t>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 xml:space="preserve"> &lt; 0.05,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**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 xml:space="preserve"> &lt; 0.01,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***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> &lt; 0.001, n.s. represents no significance.</w:t>
      </w:r>
      <w:r>
        <w:rPr>
          <w:szCs w:val="21"/>
          <w:highlight w:val="none"/>
        </w:rPr>
        <w:t xml:space="preserve"> </w:t>
      </w:r>
    </w:p>
    <w:p w14:paraId="3D16EDCA">
      <w:pPr>
        <w:jc w:val="center"/>
        <w:rPr>
          <w:highlight w:val="none"/>
        </w:rPr>
      </w:pPr>
      <w:r>
        <w:rPr>
          <w:b/>
          <w:szCs w:val="21"/>
          <w:highlight w:val="none"/>
        </w:rPr>
        <w:br w:type="page"/>
      </w:r>
      <w:r>
        <w:rPr>
          <w:highlight w:val="none"/>
        </w:rPr>
        <w:drawing>
          <wp:inline distT="0" distB="0" distL="0" distR="0">
            <wp:extent cx="5274310" cy="37858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F5C8E">
      <w:pPr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5. Behavioral assessment of mice anxiety following three months of papain administration</w:t>
      </w:r>
    </w:p>
    <w:p w14:paraId="7B54617E">
      <w:pPr>
        <w:spacing w:line="360" w:lineRule="auto"/>
        <w:rPr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A.</w:t>
      </w:r>
      <w:r>
        <w:rPr>
          <w:rFonts w:ascii="Times New Roman" w:hAnsi="Times New Roman" w:cs="Times New Roman"/>
          <w:szCs w:val="21"/>
          <w:highlight w:val="none"/>
        </w:rPr>
        <w:t xml:space="preserve"> Representative activity traces in the OFT. </w:t>
      </w:r>
      <w:r>
        <w:rPr>
          <w:rFonts w:ascii="Times New Roman" w:hAnsi="Times New Roman" w:cs="Times New Roman"/>
          <w:b/>
          <w:szCs w:val="21"/>
          <w:highlight w:val="none"/>
        </w:rPr>
        <w:t>B-E.</w:t>
      </w:r>
      <w:r>
        <w:rPr>
          <w:b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Cs w:val="21"/>
          <w:highlight w:val="none"/>
        </w:rPr>
        <w:t xml:space="preserve">Total distance traveled (B), activity within the central area (C-D) and average velocity (E) in the OFT.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F. </w:t>
      </w:r>
      <w:r>
        <w:rPr>
          <w:rFonts w:ascii="Times New Roman" w:hAnsi="Times New Roman" w:cs="Times New Roman"/>
          <w:szCs w:val="21"/>
          <w:highlight w:val="none"/>
        </w:rPr>
        <w:t xml:space="preserve">Representative activity trace in the EPM.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G. </w:t>
      </w:r>
      <w:r>
        <w:rPr>
          <w:rFonts w:ascii="Times New Roman" w:hAnsi="Times New Roman" w:cs="Times New Roman"/>
          <w:szCs w:val="21"/>
          <w:highlight w:val="none"/>
        </w:rPr>
        <w:t xml:space="preserve">Time spent in the open arms of the EPM. </w:t>
      </w:r>
      <w:r>
        <w:rPr>
          <w:rFonts w:ascii="Times New Roman" w:hAnsi="Times New Roman" w:cs="Times New Roman"/>
          <w:b/>
          <w:szCs w:val="21"/>
          <w:highlight w:val="none"/>
        </w:rPr>
        <w:t>H.</w:t>
      </w:r>
      <w:r>
        <w:rPr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Cs w:val="21"/>
          <w:highlight w:val="none"/>
        </w:rPr>
        <w:t xml:space="preserve">Number of entries into the open arms. </w:t>
      </w:r>
      <w:r>
        <w:rPr>
          <w:rFonts w:ascii="Times New Roman" w:hAnsi="Times New Roman" w:cs="Times New Roman"/>
          <w:b/>
          <w:szCs w:val="21"/>
          <w:highlight w:val="none"/>
        </w:rPr>
        <w:t>I.</w:t>
      </w:r>
      <w:r>
        <w:rPr>
          <w:b/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Cs w:val="21"/>
          <w:highlight w:val="none"/>
        </w:rPr>
        <w:t xml:space="preserve">Closed arm entries during the EPM.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J. </w:t>
      </w:r>
      <w:r>
        <w:rPr>
          <w:rFonts w:ascii="Times New Roman" w:hAnsi="Times New Roman" w:cs="Times New Roman"/>
          <w:szCs w:val="21"/>
          <w:highlight w:val="none"/>
        </w:rPr>
        <w:t xml:space="preserve">Representative activity trace in the LDB test. </w:t>
      </w:r>
      <w:r>
        <w:rPr>
          <w:rFonts w:ascii="Times New Roman" w:hAnsi="Times New Roman" w:cs="Times New Roman"/>
          <w:b/>
          <w:szCs w:val="21"/>
          <w:highlight w:val="none"/>
        </w:rPr>
        <w:t>K.</w:t>
      </w:r>
      <w:r>
        <w:rPr>
          <w:szCs w:val="21"/>
          <w:highlight w:val="none"/>
        </w:rPr>
        <w:t xml:space="preserve"> </w:t>
      </w:r>
      <w:r>
        <w:rPr>
          <w:rFonts w:ascii="Times New Roman" w:hAnsi="Times New Roman" w:cs="Times New Roman"/>
          <w:szCs w:val="21"/>
          <w:highlight w:val="none"/>
        </w:rPr>
        <w:t>Time spent in the dark box during the LDB test.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 L. </w:t>
      </w:r>
      <w:r>
        <w:rPr>
          <w:rFonts w:ascii="Times New Roman" w:hAnsi="Times New Roman" w:cs="Times New Roman"/>
          <w:szCs w:val="21"/>
          <w:highlight w:val="none"/>
        </w:rPr>
        <w:t xml:space="preserve">Number of entries into the light box during the LDB test. Data were presented as mean ± SEM. Statistical analyses were performed using One-Way ANOVA.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</w:t>
      </w:r>
      <w:r>
        <w:rPr>
          <w:rFonts w:ascii="Times New Roman" w:hAnsi="Times New Roman" w:cs="Times New Roman"/>
          <w:szCs w:val="21"/>
          <w:highlight w:val="none"/>
        </w:rPr>
        <w:t>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 xml:space="preserve"> &lt; 0.05,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**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 xml:space="preserve"> &lt; 0.01, </w:t>
      </w:r>
      <w:r>
        <w:rPr>
          <w:rFonts w:ascii="Times New Roman" w:hAnsi="Times New Roman" w:cs="Times New Roman"/>
          <w:szCs w:val="21"/>
          <w:highlight w:val="none"/>
          <w:vertAlign w:val="superscript"/>
        </w:rPr>
        <w:t>*** </w:t>
      </w:r>
      <w:r>
        <w:rPr>
          <w:rFonts w:ascii="Times New Roman" w:hAnsi="Times New Roman" w:cs="Times New Roman"/>
          <w:i/>
          <w:szCs w:val="21"/>
          <w:highlight w:val="none"/>
        </w:rPr>
        <w:t>P</w:t>
      </w:r>
      <w:r>
        <w:rPr>
          <w:rFonts w:ascii="Times New Roman" w:hAnsi="Times New Roman" w:cs="Times New Roman"/>
          <w:szCs w:val="21"/>
          <w:highlight w:val="none"/>
        </w:rPr>
        <w:t> &lt; 0.001, n.s. represents no significance.</w:t>
      </w:r>
      <w:r>
        <w:rPr>
          <w:szCs w:val="21"/>
          <w:highlight w:val="none"/>
        </w:rPr>
        <w:t xml:space="preserve"> </w:t>
      </w:r>
    </w:p>
    <w:p w14:paraId="399248BA">
      <w:pPr>
        <w:spacing w:line="360" w:lineRule="auto"/>
        <w:rPr>
          <w:szCs w:val="21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48406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2ED1">
      <w:pPr>
        <w:pStyle w:val="6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1"/>
          <w:szCs w:val="21"/>
          <w:highlight w:val="none"/>
        </w:rPr>
        <w:t xml:space="preserve">Supplementary Figure 6.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Activation of BLA neurons induces behavioral and peripheral alterations with greater effects under CRS conditions</w:t>
      </w:r>
    </w:p>
    <w:p w14:paraId="09BB314B">
      <w:pPr>
        <w:pStyle w:val="6"/>
        <w:jc w:val="both"/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A.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Schematic overview of the experimental design, including AAV injection into the BLA, CNO administration, behavioral assessments, and tissue collection.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Representative images and quantification of c-FOS immunostaining in the BLA, Scale bar = 200 μm.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C-F.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Total distance traveled (C), distance traveled in the center zone (D), percentage of time spent in the center area (E), and mean locomotor velocity (F) in the OFT.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G-I.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Time spent in open arms (G), number of entries into open arms (H), and number of entries into closed arms (I) in EPM.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J-K.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Duration spent in the dark compartment (J) and number of transitions into the light compartment (K) in LDB test.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L-M</w:t>
      </w:r>
      <w:r>
        <w:rPr>
          <w:rFonts w:hint="eastAsia"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Representative images and quantification of TH-positive sympathetic nerve fibers in the nasal mucosa. Scale bars = 100 μm.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N–O.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Representative images of MBP-labeled eosinophils in the nasal mucosa and the quantification. Scale bars = 100 μm. 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P-Q.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Levels of NE and IL-33 in NALF.</w:t>
      </w:r>
      <w:r>
        <w:rPr>
          <w:rFonts w:ascii="Times New Roman" w:hAnsi="Times New Roman" w:cs="Times New Roman"/>
          <w:sz w:val="21"/>
          <w:szCs w:val="21"/>
          <w:highlight w:val="none"/>
        </w:rPr>
        <w:t xml:space="preserve"> Data were presented as mean ± SEM. Statistical analyses were performed using One-Way ANOVA. </w:t>
      </w:r>
      <w:r>
        <w:rPr>
          <w:rFonts w:ascii="Times New Roman" w:hAnsi="Times New Roman" w:cs="Times New Roman"/>
          <w:sz w:val="21"/>
          <w:szCs w:val="21"/>
          <w:highlight w:val="none"/>
          <w:vertAlign w:val="superscript"/>
        </w:rPr>
        <w:t>*</w:t>
      </w:r>
      <w:r>
        <w:rPr>
          <w:rFonts w:ascii="Times New Roman" w:hAnsi="Times New Roman" w:cs="Times New Roman"/>
          <w:sz w:val="21"/>
          <w:szCs w:val="21"/>
          <w:highlight w:val="none"/>
        </w:rPr>
        <w:t> </w:t>
      </w:r>
      <w:r>
        <w:rPr>
          <w:rFonts w:ascii="Times New Roman" w:hAnsi="Times New Roman" w:cs="Times New Roman"/>
          <w:i/>
          <w:sz w:val="21"/>
          <w:szCs w:val="21"/>
          <w:highlight w:val="none"/>
        </w:rPr>
        <w:t>P</w:t>
      </w:r>
      <w:r>
        <w:rPr>
          <w:rFonts w:ascii="Times New Roman" w:hAnsi="Times New Roman" w:cs="Times New Roman"/>
          <w:sz w:val="21"/>
          <w:szCs w:val="21"/>
          <w:highlight w:val="none"/>
        </w:rPr>
        <w:t xml:space="preserve"> &lt; 0.05, </w:t>
      </w:r>
      <w:r>
        <w:rPr>
          <w:rFonts w:ascii="Times New Roman" w:hAnsi="Times New Roman" w:cs="Times New Roman"/>
          <w:sz w:val="21"/>
          <w:szCs w:val="21"/>
          <w:highlight w:val="none"/>
          <w:vertAlign w:val="superscript"/>
        </w:rPr>
        <w:t>**</w:t>
      </w:r>
      <w:r>
        <w:rPr>
          <w:rFonts w:ascii="Times New Roman" w:hAnsi="Times New Roman" w:cs="Times New Roman"/>
          <w:i/>
          <w:sz w:val="21"/>
          <w:szCs w:val="21"/>
          <w:highlight w:val="none"/>
        </w:rPr>
        <w:t>P</w:t>
      </w:r>
      <w:r>
        <w:rPr>
          <w:rFonts w:ascii="Times New Roman" w:hAnsi="Times New Roman" w:cs="Times New Roman"/>
          <w:sz w:val="21"/>
          <w:szCs w:val="21"/>
          <w:highlight w:val="none"/>
        </w:rPr>
        <w:t xml:space="preserve"> &lt; 0.01, </w:t>
      </w:r>
      <w:r>
        <w:rPr>
          <w:rFonts w:ascii="Times New Roman" w:hAnsi="Times New Roman" w:cs="Times New Roman"/>
          <w:sz w:val="21"/>
          <w:szCs w:val="21"/>
          <w:highlight w:val="none"/>
          <w:vertAlign w:val="superscript"/>
        </w:rPr>
        <w:t>*** </w:t>
      </w:r>
      <w:r>
        <w:rPr>
          <w:rFonts w:ascii="Times New Roman" w:hAnsi="Times New Roman" w:cs="Times New Roman"/>
          <w:i/>
          <w:sz w:val="21"/>
          <w:szCs w:val="21"/>
          <w:highlight w:val="none"/>
        </w:rPr>
        <w:t>P</w:t>
      </w:r>
      <w:r>
        <w:rPr>
          <w:rFonts w:ascii="Times New Roman" w:hAnsi="Times New Roman" w:cs="Times New Roman"/>
          <w:sz w:val="21"/>
          <w:szCs w:val="21"/>
          <w:highlight w:val="none"/>
        </w:rPr>
        <w:t> &lt; 0.001.</w:t>
      </w:r>
    </w:p>
    <w:p w14:paraId="6B7C6CCD">
      <w:pPr>
        <w:spacing w:line="360" w:lineRule="auto"/>
        <w:rPr>
          <w:szCs w:val="21"/>
          <w:highlight w:val="none"/>
        </w:rPr>
      </w:pPr>
    </w:p>
    <w:p w14:paraId="54DC60ED">
      <w:pPr>
        <w:jc w:val="center"/>
        <w:rPr>
          <w:rFonts w:ascii="Times New Roman" w:hAnsi="Times New Roman" w:cs="Times New Roman"/>
          <w:szCs w:val="21"/>
          <w:highlight w:val="none"/>
        </w:rPr>
      </w:pPr>
      <w:r>
        <w:rPr>
          <w:highlight w:val="none"/>
        </w:rPr>
        <w:br w:type="page"/>
      </w:r>
      <w:r>
        <w:rPr>
          <w:rFonts w:hint="eastAsia" w:ascii="Times New Roman" w:hAnsi="Times New Roman" w:cs="Times New Roman"/>
          <w:szCs w:val="21"/>
          <w:highlight w:val="none"/>
        </w:rPr>
        <w:drawing>
          <wp:inline distT="0" distB="0" distL="0" distR="0">
            <wp:extent cx="5272405" cy="116205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47603">
      <w:pPr>
        <w:rPr>
          <w:rFonts w:ascii="Times New Roman" w:hAnsi="Times New Roman" w:cs="Times New Roman"/>
          <w:b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7.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Action potential firing and firing frequency of VGAT-labeled inhibitory neuron </w:t>
      </w:r>
      <w:r>
        <w:rPr>
          <w:rFonts w:hint="eastAsia" w:ascii="Times New Roman" w:hAnsi="Times New Roman" w:cs="Times New Roman"/>
          <w:b/>
          <w:szCs w:val="21"/>
          <w:highlight w:val="none"/>
        </w:rPr>
        <w:t>in</w:t>
      </w:r>
      <w:r>
        <w:rPr>
          <w:rFonts w:ascii="Times New Roman" w:hAnsi="Times New Roman" w:cs="Times New Roman"/>
          <w:b/>
          <w:szCs w:val="21"/>
          <w:highlight w:val="none"/>
        </w:rPr>
        <w:t xml:space="preserve"> BLA</w:t>
      </w:r>
    </w:p>
    <w:p w14:paraId="46B04C5F">
      <w:pPr>
        <w:rPr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Representative action potential traces recorded from VGAT-positive inhibitory neurons are shown, together with quantification of firing frequency. Data were presented as mean ± SEM. Statistical analyses were performed using two-</w:t>
      </w:r>
      <w:r>
        <w:rPr>
          <w:rFonts w:hint="eastAsia" w:ascii="Times New Roman" w:hAnsi="Times New Roman" w:cs="Times New Roman"/>
          <w:szCs w:val="21"/>
          <w:highlight w:val="none"/>
        </w:rPr>
        <w:t>w</w:t>
      </w:r>
      <w:r>
        <w:rPr>
          <w:rFonts w:ascii="Times New Roman" w:hAnsi="Times New Roman" w:cs="Times New Roman"/>
          <w:szCs w:val="21"/>
          <w:highlight w:val="none"/>
        </w:rPr>
        <w:t xml:space="preserve">ay ANOVA. </w:t>
      </w:r>
    </w:p>
    <w:p w14:paraId="268CFADF">
      <w:pPr>
        <w:rPr>
          <w:rFonts w:ascii="Times New Roman" w:hAnsi="Times New Roman" w:cs="Times New Roman"/>
          <w:szCs w:val="21"/>
          <w:highlight w:val="none"/>
        </w:rPr>
      </w:pPr>
    </w:p>
    <w:p w14:paraId="118BF035">
      <w:pPr>
        <w:rPr>
          <w:rFonts w:ascii="Times New Roman" w:hAnsi="Times New Roman" w:cs="Times New Roman"/>
          <w:szCs w:val="21"/>
          <w:highlight w:val="none"/>
        </w:rPr>
      </w:pPr>
      <w:bookmarkStart w:id="5" w:name="_Hlk226823277"/>
      <w:r>
        <w:rPr>
          <w:rFonts w:ascii="Times New Roman" w:hAnsi="Times New Roman" w:cs="Times New Roman"/>
          <w:szCs w:val="21"/>
          <w:highlight w:val="none"/>
        </w:rPr>
        <w:br w:type="page"/>
      </w:r>
    </w:p>
    <w:p w14:paraId="40EF8042">
      <w:pPr>
        <w:rPr>
          <w:rFonts w:ascii="Times New Roman" w:hAnsi="Times New Roman" w:cs="Times New Roman"/>
          <w:szCs w:val="21"/>
          <w:highlight w:val="none"/>
        </w:rPr>
      </w:pPr>
    </w:p>
    <w:p w14:paraId="2BB4072B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drawing>
          <wp:inline distT="0" distB="0" distL="0" distR="0">
            <wp:extent cx="5274310" cy="20656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EBBC5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>Supplementary Figure 8.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b/>
          <w:szCs w:val="21"/>
          <w:highlight w:val="none"/>
        </w:rPr>
        <w:t>VGLUT2 immunostaining in the BLA.</w:t>
      </w:r>
    </w:p>
    <w:p w14:paraId="2194CCCC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b/>
          <w:szCs w:val="21"/>
          <w:highlight w:val="none"/>
        </w:rPr>
        <w:t xml:space="preserve">A-B. </w:t>
      </w:r>
      <w:r>
        <w:rPr>
          <w:rFonts w:ascii="Times New Roman" w:hAnsi="Times New Roman" w:cs="Times New Roman"/>
          <w:szCs w:val="21"/>
          <w:highlight w:val="none"/>
        </w:rPr>
        <w:t>Representative images and quantification of VGLUT2 (magenta) staining in the BLA. Blue, DAPI. Scale bar, 100 µm.</w:t>
      </w:r>
    </w:p>
    <w:bookmarkEnd w:id="5"/>
    <w:p w14:paraId="5A77BE5E">
      <w:pPr>
        <w:rPr>
          <w:rFonts w:ascii="Times New Roman" w:hAnsi="Times New Roman" w:cs="Times New Roman"/>
          <w:szCs w:val="21"/>
          <w:highlight w:val="none"/>
        </w:rPr>
      </w:pPr>
    </w:p>
    <w:p w14:paraId="13201C33">
      <w:pPr>
        <w:rPr>
          <w:rFonts w:ascii="Times New Roman" w:hAnsi="Times New Roman" w:cs="Times New Roman"/>
          <w:szCs w:val="21"/>
          <w:highlight w:val="none"/>
        </w:rPr>
      </w:pPr>
    </w:p>
    <w:p w14:paraId="6816BAC4">
      <w:pPr>
        <w:rPr>
          <w:rFonts w:ascii="Times New Roman" w:hAnsi="Times New Roman" w:cs="Times New Roman"/>
          <w:szCs w:val="21"/>
          <w:highlight w:val="none"/>
        </w:rPr>
      </w:pPr>
    </w:p>
    <w:p w14:paraId="086F9340">
      <w:pPr>
        <w:rPr>
          <w:rFonts w:ascii="Times New Roman" w:hAnsi="Times New Roman" w:cs="Times New Roman"/>
          <w:szCs w:val="21"/>
          <w:highlight w:val="none"/>
        </w:rPr>
      </w:pPr>
    </w:p>
    <w:p w14:paraId="268004FE">
      <w:pPr>
        <w:rPr>
          <w:rFonts w:ascii="Times New Roman" w:hAnsi="Times New Roman" w:cs="Times New Roman"/>
          <w:szCs w:val="21"/>
          <w:highlight w:val="none"/>
        </w:rPr>
      </w:pPr>
    </w:p>
    <w:p w14:paraId="523702A9"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fldChar w:fldCharType="begin"/>
      </w:r>
      <w:r>
        <w:rPr>
          <w:rFonts w:ascii="Times New Roman" w:hAnsi="Times New Roman" w:cs="Times New Roman"/>
          <w:szCs w:val="21"/>
          <w:highlight w:val="none"/>
        </w:rPr>
        <w:instrText xml:space="preserve"> ADDIN EN.REFLIST </w:instrText>
      </w:r>
      <w:r>
        <w:rPr>
          <w:rFonts w:ascii="Times New Roman" w:hAnsi="Times New Roman" w:cs="Times New Roman"/>
          <w:szCs w:val="21"/>
          <w:highlight w:val="none"/>
        </w:rPr>
        <w:fldChar w:fldCharType="end"/>
      </w:r>
    </w:p>
    <w:bookmarkEnd w:id="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2sw0zputt9xge0fxkptvf2xrdds9as22ep&quot;&gt;我的EndNote库&lt;record-ids&gt;&lt;item&gt;1578&lt;/item&gt;&lt;/record-ids&gt;&lt;/item&gt;&lt;/Libraries&gt;"/>
  </w:docVars>
  <w:rsids>
    <w:rsidRoot w:val="00601F46"/>
    <w:rsid w:val="00022FE4"/>
    <w:rsid w:val="000249BC"/>
    <w:rsid w:val="00085451"/>
    <w:rsid w:val="00094C65"/>
    <w:rsid w:val="00096C6B"/>
    <w:rsid w:val="000A2235"/>
    <w:rsid w:val="000C6E37"/>
    <w:rsid w:val="000D0B5A"/>
    <w:rsid w:val="000E10F1"/>
    <w:rsid w:val="000E5585"/>
    <w:rsid w:val="000F3192"/>
    <w:rsid w:val="00123D55"/>
    <w:rsid w:val="001241B5"/>
    <w:rsid w:val="001275F2"/>
    <w:rsid w:val="00127EB7"/>
    <w:rsid w:val="001821BA"/>
    <w:rsid w:val="00201D71"/>
    <w:rsid w:val="002102B6"/>
    <w:rsid w:val="002231C7"/>
    <w:rsid w:val="00235523"/>
    <w:rsid w:val="00235F38"/>
    <w:rsid w:val="00246168"/>
    <w:rsid w:val="00262DF5"/>
    <w:rsid w:val="00263CD5"/>
    <w:rsid w:val="00286360"/>
    <w:rsid w:val="002935A9"/>
    <w:rsid w:val="00294D64"/>
    <w:rsid w:val="002B3187"/>
    <w:rsid w:val="002D6A87"/>
    <w:rsid w:val="002E542D"/>
    <w:rsid w:val="0032669C"/>
    <w:rsid w:val="00333FB1"/>
    <w:rsid w:val="00335684"/>
    <w:rsid w:val="0034010B"/>
    <w:rsid w:val="0035350B"/>
    <w:rsid w:val="003567E8"/>
    <w:rsid w:val="00365205"/>
    <w:rsid w:val="0037040D"/>
    <w:rsid w:val="003939B6"/>
    <w:rsid w:val="003E3CC7"/>
    <w:rsid w:val="003F08C0"/>
    <w:rsid w:val="00406AAE"/>
    <w:rsid w:val="0041673E"/>
    <w:rsid w:val="00424BCA"/>
    <w:rsid w:val="00435645"/>
    <w:rsid w:val="00440589"/>
    <w:rsid w:val="00450503"/>
    <w:rsid w:val="0046564F"/>
    <w:rsid w:val="00471A2D"/>
    <w:rsid w:val="004A53A3"/>
    <w:rsid w:val="004A5F40"/>
    <w:rsid w:val="004B6298"/>
    <w:rsid w:val="004D537D"/>
    <w:rsid w:val="004F7004"/>
    <w:rsid w:val="00506796"/>
    <w:rsid w:val="005313B5"/>
    <w:rsid w:val="00532D7E"/>
    <w:rsid w:val="00534531"/>
    <w:rsid w:val="00576715"/>
    <w:rsid w:val="005A4D75"/>
    <w:rsid w:val="005A6B14"/>
    <w:rsid w:val="005C3D51"/>
    <w:rsid w:val="005D242E"/>
    <w:rsid w:val="005E6F26"/>
    <w:rsid w:val="00601F46"/>
    <w:rsid w:val="00623892"/>
    <w:rsid w:val="00623D81"/>
    <w:rsid w:val="00644B14"/>
    <w:rsid w:val="00653366"/>
    <w:rsid w:val="00666F2B"/>
    <w:rsid w:val="006A663A"/>
    <w:rsid w:val="006C75E9"/>
    <w:rsid w:val="006D2F09"/>
    <w:rsid w:val="006E45F8"/>
    <w:rsid w:val="006F69B7"/>
    <w:rsid w:val="007006F7"/>
    <w:rsid w:val="0070121C"/>
    <w:rsid w:val="007201F9"/>
    <w:rsid w:val="007457B9"/>
    <w:rsid w:val="00771191"/>
    <w:rsid w:val="00776049"/>
    <w:rsid w:val="007779C4"/>
    <w:rsid w:val="00791AA9"/>
    <w:rsid w:val="007B7CA3"/>
    <w:rsid w:val="007D519C"/>
    <w:rsid w:val="007E42CE"/>
    <w:rsid w:val="007E67FD"/>
    <w:rsid w:val="00815D81"/>
    <w:rsid w:val="008160FE"/>
    <w:rsid w:val="0082379C"/>
    <w:rsid w:val="00836662"/>
    <w:rsid w:val="00845C22"/>
    <w:rsid w:val="00854A59"/>
    <w:rsid w:val="008700EA"/>
    <w:rsid w:val="008834D5"/>
    <w:rsid w:val="008C2AB5"/>
    <w:rsid w:val="008D0C98"/>
    <w:rsid w:val="008D1D05"/>
    <w:rsid w:val="008D4A68"/>
    <w:rsid w:val="008F0257"/>
    <w:rsid w:val="008F5C8D"/>
    <w:rsid w:val="0090335E"/>
    <w:rsid w:val="00922049"/>
    <w:rsid w:val="0095151E"/>
    <w:rsid w:val="00953084"/>
    <w:rsid w:val="00982D5E"/>
    <w:rsid w:val="009A6AB0"/>
    <w:rsid w:val="009B498E"/>
    <w:rsid w:val="009C3040"/>
    <w:rsid w:val="009D5D8F"/>
    <w:rsid w:val="009E20B5"/>
    <w:rsid w:val="009F385B"/>
    <w:rsid w:val="00A11B3E"/>
    <w:rsid w:val="00A566A4"/>
    <w:rsid w:val="00A61099"/>
    <w:rsid w:val="00AB0724"/>
    <w:rsid w:val="00AB0FA5"/>
    <w:rsid w:val="00AD2D7B"/>
    <w:rsid w:val="00AF5DF7"/>
    <w:rsid w:val="00AF70EC"/>
    <w:rsid w:val="00B32A52"/>
    <w:rsid w:val="00B6781E"/>
    <w:rsid w:val="00B70C86"/>
    <w:rsid w:val="00B72ABD"/>
    <w:rsid w:val="00BA119A"/>
    <w:rsid w:val="00BB79E2"/>
    <w:rsid w:val="00BC320C"/>
    <w:rsid w:val="00BC3FBC"/>
    <w:rsid w:val="00C01DFC"/>
    <w:rsid w:val="00C27804"/>
    <w:rsid w:val="00C342BF"/>
    <w:rsid w:val="00C342EE"/>
    <w:rsid w:val="00C3592E"/>
    <w:rsid w:val="00C636D4"/>
    <w:rsid w:val="00C769C3"/>
    <w:rsid w:val="00C92723"/>
    <w:rsid w:val="00CC7619"/>
    <w:rsid w:val="00CD1221"/>
    <w:rsid w:val="00CE5B84"/>
    <w:rsid w:val="00CF4A6A"/>
    <w:rsid w:val="00CF55CB"/>
    <w:rsid w:val="00D027CF"/>
    <w:rsid w:val="00D154AE"/>
    <w:rsid w:val="00D4251A"/>
    <w:rsid w:val="00D46DCE"/>
    <w:rsid w:val="00D50EF0"/>
    <w:rsid w:val="00D6348F"/>
    <w:rsid w:val="00D73CC7"/>
    <w:rsid w:val="00D77706"/>
    <w:rsid w:val="00D84878"/>
    <w:rsid w:val="00D94C30"/>
    <w:rsid w:val="00E00D17"/>
    <w:rsid w:val="00E24B67"/>
    <w:rsid w:val="00E32E78"/>
    <w:rsid w:val="00E600EF"/>
    <w:rsid w:val="00E87FA2"/>
    <w:rsid w:val="00E92A23"/>
    <w:rsid w:val="00EA3E30"/>
    <w:rsid w:val="00EE34FF"/>
    <w:rsid w:val="00F325BD"/>
    <w:rsid w:val="00F4180F"/>
    <w:rsid w:val="00F87993"/>
    <w:rsid w:val="00FC1A70"/>
    <w:rsid w:val="00FD166E"/>
    <w:rsid w:val="00FE0979"/>
    <w:rsid w:val="090C4C4D"/>
    <w:rsid w:val="15EE617B"/>
    <w:rsid w:val="2F73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2"/>
    <w:semiHidden/>
    <w:qFormat/>
    <w:uiPriority w:val="99"/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批注主题 字符"/>
    <w:basedOn w:val="14"/>
    <w:link w:val="7"/>
    <w:semiHidden/>
    <w:qFormat/>
    <w:uiPriority w:val="99"/>
    <w:rPr>
      <w:b/>
      <w:bCs/>
    </w:rPr>
  </w:style>
  <w:style w:type="paragraph" w:customStyle="1" w:styleId="17">
    <w:name w:val="EndNote Bibliography Title"/>
    <w:basedOn w:val="1"/>
    <w:link w:val="18"/>
    <w:qFormat/>
    <w:uiPriority w:val="0"/>
    <w:pPr>
      <w:framePr w:hSpace="180" w:wrap="around" w:vAnchor="page" w:hAnchor="margin" w:y="5041"/>
      <w:jc w:val="center"/>
    </w:pPr>
    <w:rPr>
      <w:rFonts w:ascii="等线" w:hAnsi="等线" w:eastAsia="等线"/>
      <w:sz w:val="20"/>
    </w:rPr>
  </w:style>
  <w:style w:type="character" w:customStyle="1" w:styleId="18">
    <w:name w:val="EndNote Bibliography Title 字符"/>
    <w:basedOn w:val="10"/>
    <w:link w:val="17"/>
    <w:qFormat/>
    <w:uiPriority w:val="0"/>
    <w:rPr>
      <w:rFonts w:ascii="等线" w:hAnsi="等线" w:eastAsia="等线"/>
      <w:sz w:val="20"/>
    </w:rPr>
  </w:style>
  <w:style w:type="paragraph" w:customStyle="1" w:styleId="19">
    <w:name w:val="EndNote Bibliography"/>
    <w:basedOn w:val="1"/>
    <w:link w:val="20"/>
    <w:qFormat/>
    <w:uiPriority w:val="0"/>
    <w:pPr>
      <w:framePr w:hSpace="180" w:wrap="around" w:vAnchor="page" w:hAnchor="margin" w:y="5041"/>
    </w:pPr>
    <w:rPr>
      <w:rFonts w:ascii="等线" w:hAnsi="等线" w:eastAsia="等线"/>
      <w:sz w:val="20"/>
    </w:rPr>
  </w:style>
  <w:style w:type="character" w:customStyle="1" w:styleId="20">
    <w:name w:val="EndNote Bibliography 字符"/>
    <w:basedOn w:val="10"/>
    <w:link w:val="19"/>
    <w:qFormat/>
    <w:uiPriority w:val="0"/>
    <w:rPr>
      <w:rFonts w:ascii="等线" w:hAnsi="等线" w:eastAsia="等线"/>
      <w:sz w:val="20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3A001-B928-4AA3-913C-BD00583F14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850</Words>
  <Characters>4726</Characters>
  <Lines>44</Lines>
  <Paragraphs>12</Paragraphs>
  <TotalTime>52</TotalTime>
  <ScaleCrop>false</ScaleCrop>
  <LinksUpToDate>false</LinksUpToDate>
  <CharactersWithSpaces>5427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2026-04-02T14:21:00Z</dcterms:created>
  <dc:creator>asus</dc:creator>
  <cp:lastModifiedBy>mu11</cp:lastModifiedBy>
  <dcterms:modified xsi:type="dcterms:W3CDTF">2026-04-26T10:22:46Z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eyJoZGlkIjoiNzhjOWJiYmJlMWFmMTFkZTY0NWVlOWJmZWQ0YmEyMzIiLCJ1c2VySWQiOiIzNDAzNTIyNzUifQ==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DD2C02125D4C4F7DA750EC34179132EB_12</vt:lpwstr>
  </property>
  <property fmtid="{D5CDD505-2E9C-101B-9397-08002B2CF9AE}" pid="5" name="GrammarlyDocumentId">
    <vt:lpwstr>8f9fc01d-be00-425e-a9bc-310f8487b76c</vt:lpwstr>
  </property>
</Properties>
</file>