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10BF8" w14:textId="312A5566" w:rsidR="007E3C24" w:rsidRPr="00802EA9" w:rsidRDefault="00F472ED">
      <w:pPr>
        <w:pStyle w:val="a9"/>
        <w:widowControl/>
        <w:spacing w:before="100" w:after="100" w:line="240" w:lineRule="atLeast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02EA9">
        <w:rPr>
          <w:rFonts w:ascii="Times New Roman" w:hAnsi="Times New Roman" w:cs="Times New Roman"/>
          <w:b/>
          <w:bCs/>
          <w:sz w:val="32"/>
          <w:szCs w:val="32"/>
        </w:rPr>
        <w:t xml:space="preserve">Supplemental </w:t>
      </w:r>
      <w:r w:rsidRPr="00802EA9">
        <w:rPr>
          <w:rFonts w:ascii="Times New Roman" w:hAnsi="Times New Roman" w:cs="Times New Roman" w:hint="eastAsia"/>
          <w:b/>
          <w:bCs/>
          <w:sz w:val="32"/>
          <w:szCs w:val="32"/>
        </w:rPr>
        <w:t>Materials</w:t>
      </w:r>
    </w:p>
    <w:p w14:paraId="31942319" w14:textId="77777777" w:rsidR="00796F51" w:rsidRPr="00802EA9" w:rsidRDefault="00796F51" w:rsidP="00796F51">
      <w:pPr>
        <w:spacing w:line="360" w:lineRule="auto"/>
        <w:jc w:val="center"/>
        <w:rPr>
          <w:rFonts w:ascii="Times New Roman Regular" w:hAnsi="Times New Roman Regular" w:cs="Times New Roman Regular" w:hint="eastAsia"/>
          <w:bCs/>
          <w:i/>
          <w:iCs/>
          <w:color w:val="000000" w:themeColor="text1"/>
          <w:kern w:val="0"/>
          <w:szCs w:val="21"/>
          <w:lang w:bidi="ar"/>
        </w:rPr>
      </w:pP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 xml:space="preserve">ABCA1-mediated </w:t>
      </w:r>
      <w:r w:rsidRPr="00802EA9">
        <w:rPr>
          <w:rFonts w:ascii="Times New Roman Regular" w:hAnsi="Times New Roman Regular" w:cs="Times New Roman Regular" w:hint="eastAsia"/>
          <w:b/>
          <w:color w:val="000000" w:themeColor="text1"/>
          <w:kern w:val="0"/>
          <w:sz w:val="28"/>
          <w:szCs w:val="28"/>
          <w:lang w:bidi="ar"/>
        </w:rPr>
        <w:t>L</w:t>
      </w: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 xml:space="preserve">ipid </w:t>
      </w:r>
      <w:r w:rsidRPr="00802EA9">
        <w:rPr>
          <w:rFonts w:ascii="Times New Roman Regular" w:hAnsi="Times New Roman Regular" w:cs="Times New Roman Regular" w:hint="eastAsia"/>
          <w:b/>
          <w:color w:val="000000" w:themeColor="text1"/>
          <w:kern w:val="0"/>
          <w:sz w:val="28"/>
          <w:szCs w:val="28"/>
          <w:lang w:bidi="ar"/>
        </w:rPr>
        <w:t>E</w:t>
      </w: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 xml:space="preserve">fflux </w:t>
      </w:r>
      <w:r w:rsidRPr="00802EA9">
        <w:rPr>
          <w:rFonts w:ascii="Times New Roman Regular" w:hAnsi="Times New Roman Regular" w:cs="Times New Roman Regular" w:hint="eastAsia"/>
          <w:b/>
          <w:color w:val="000000" w:themeColor="text1"/>
          <w:kern w:val="0"/>
          <w:sz w:val="28"/>
          <w:szCs w:val="28"/>
          <w:lang w:bidi="ar"/>
        </w:rPr>
        <w:t>R</w:t>
      </w: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 xml:space="preserve">estrains </w:t>
      </w:r>
      <w:r w:rsidRPr="00802EA9">
        <w:rPr>
          <w:rFonts w:ascii="Times New Roman Regular" w:hAnsi="Times New Roman Regular" w:cs="Times New Roman Regular" w:hint="eastAsia"/>
          <w:b/>
          <w:color w:val="000000" w:themeColor="text1"/>
          <w:kern w:val="0"/>
          <w:sz w:val="28"/>
          <w:szCs w:val="28"/>
          <w:lang w:bidi="ar"/>
        </w:rPr>
        <w:t>O</w:t>
      </w: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 xml:space="preserve">xidative </w:t>
      </w:r>
      <w:r w:rsidRPr="00802EA9">
        <w:rPr>
          <w:rFonts w:ascii="Times New Roman Regular" w:hAnsi="Times New Roman Regular" w:cs="Times New Roman Regular" w:hint="eastAsia"/>
          <w:b/>
          <w:color w:val="000000" w:themeColor="text1"/>
          <w:kern w:val="0"/>
          <w:sz w:val="28"/>
          <w:szCs w:val="28"/>
          <w:lang w:bidi="ar"/>
        </w:rPr>
        <w:t>S</w:t>
      </w: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 xml:space="preserve">tress and </w:t>
      </w:r>
      <w:r w:rsidRPr="00802EA9">
        <w:rPr>
          <w:rFonts w:ascii="Times New Roman Regular" w:hAnsi="Times New Roman Regular" w:cs="Times New Roman Regular" w:hint="eastAsia"/>
          <w:b/>
          <w:color w:val="000000" w:themeColor="text1"/>
          <w:kern w:val="0"/>
          <w:sz w:val="28"/>
          <w:szCs w:val="28"/>
          <w:lang w:bidi="ar"/>
        </w:rPr>
        <w:t>N</w:t>
      </w: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 xml:space="preserve">euroinflammation after </w:t>
      </w:r>
      <w:r w:rsidRPr="00802EA9">
        <w:rPr>
          <w:rFonts w:ascii="Times New Roman Regular" w:hAnsi="Times New Roman Regular" w:cs="Times New Roman Regular" w:hint="eastAsia"/>
          <w:b/>
          <w:color w:val="000000" w:themeColor="text1"/>
          <w:kern w:val="0"/>
          <w:sz w:val="28"/>
          <w:szCs w:val="28"/>
          <w:lang w:bidi="ar"/>
        </w:rPr>
        <w:t>S</w:t>
      </w: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 xml:space="preserve">pinal </w:t>
      </w:r>
      <w:r w:rsidRPr="00802EA9">
        <w:rPr>
          <w:rFonts w:ascii="Times New Roman Regular" w:hAnsi="Times New Roman Regular" w:cs="Times New Roman Regular" w:hint="eastAsia"/>
          <w:b/>
          <w:color w:val="000000" w:themeColor="text1"/>
          <w:kern w:val="0"/>
          <w:sz w:val="28"/>
          <w:szCs w:val="28"/>
          <w:lang w:bidi="ar"/>
        </w:rPr>
        <w:t>C</w:t>
      </w: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 xml:space="preserve">ord </w:t>
      </w:r>
      <w:r w:rsidRPr="00802EA9">
        <w:rPr>
          <w:rFonts w:ascii="Times New Roman Regular" w:hAnsi="Times New Roman Regular" w:cs="Times New Roman Regular" w:hint="eastAsia"/>
          <w:b/>
          <w:color w:val="000000" w:themeColor="text1"/>
          <w:kern w:val="0"/>
          <w:sz w:val="28"/>
          <w:szCs w:val="28"/>
          <w:lang w:bidi="ar"/>
        </w:rPr>
        <w:t>I</w:t>
      </w:r>
      <w:r w:rsidRPr="00802EA9">
        <w:rPr>
          <w:rFonts w:ascii="Times New Roman Regular" w:hAnsi="Times New Roman Regular" w:cs="Times New Roman Regular"/>
          <w:b/>
          <w:color w:val="000000" w:themeColor="text1"/>
          <w:kern w:val="0"/>
          <w:sz w:val="28"/>
          <w:szCs w:val="28"/>
          <w:lang w:bidi="ar"/>
        </w:rPr>
        <w:t>njury</w:t>
      </w:r>
    </w:p>
    <w:p w14:paraId="3B37AE13" w14:textId="77777777" w:rsidR="007E3C24" w:rsidRPr="00802EA9" w:rsidRDefault="007E3C24">
      <w:pPr>
        <w:spacing w:line="360" w:lineRule="auto"/>
        <w:rPr>
          <w:rFonts w:ascii="Times New Roman Regular" w:hAnsi="Times New Roman Regular" w:cs="Times New Roman Regular" w:hint="eastAsia"/>
          <w:bCs/>
          <w:i/>
          <w:iCs/>
          <w:color w:val="000000" w:themeColor="text1"/>
          <w:kern w:val="0"/>
          <w:szCs w:val="21"/>
          <w:lang w:bidi="ar"/>
        </w:rPr>
      </w:pPr>
    </w:p>
    <w:p w14:paraId="12E8F6D9" w14:textId="77777777" w:rsidR="00905364" w:rsidRPr="00802EA9" w:rsidRDefault="00905364" w:rsidP="00905364">
      <w:pPr>
        <w:spacing w:line="360" w:lineRule="auto"/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</w:pP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Yuqi Shao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" w:hAnsi="Times New Roman" w:cs="Times New Roman"/>
          <w:bCs/>
          <w:color w:val="000000" w:themeColor="text1"/>
          <w:kern w:val="0"/>
          <w:szCs w:val="21"/>
          <w:lang w:bidi="ar"/>
        </w:rPr>
        <w:t>†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 xml:space="preserve">,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Jiayun Liu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" w:hAnsi="Times New Roman" w:cs="Times New Roman"/>
          <w:bCs/>
          <w:color w:val="000000" w:themeColor="text1"/>
          <w:kern w:val="0"/>
          <w:szCs w:val="21"/>
          <w:lang w:bidi="ar"/>
        </w:rPr>
        <w:t>†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 xml:space="preserve">,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Jiangyu Zhao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" w:hAnsi="Times New Roman" w:cs="Times New Roman"/>
          <w:bCs/>
          <w:color w:val="000000" w:themeColor="text1"/>
          <w:kern w:val="0"/>
          <w:szCs w:val="21"/>
          <w:lang w:bidi="ar"/>
        </w:rPr>
        <w:t>†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,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 xml:space="preserve"> Kaixiao xue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,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 xml:space="preserve">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Xincan Wu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,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 xml:space="preserve">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Heng Cao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,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 xml:space="preserve">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Rui Bao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,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 xml:space="preserve">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Qiancheng Sun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,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 xml:space="preserve">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Yuanzhen Zhang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,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 xml:space="preserve"> 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Peng Gao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,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 xml:space="preserve">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Mingran Luo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3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,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 xml:space="preserve">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Jian Chen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*,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 xml:space="preserve"> 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 xml:space="preserve">and 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Guoyong Yin</w:t>
      </w:r>
      <w:r w:rsidRPr="00802EA9">
        <w:rPr>
          <w:rFonts w:ascii="Times New Roman Regular" w:hAnsi="Times New Roman Regular" w:cs="Times New Roman Regular" w:hint="eastAsia"/>
          <w:bCs/>
          <w:color w:val="000000" w:themeColor="text1"/>
          <w:kern w:val="0"/>
          <w:szCs w:val="21"/>
          <w:vertAlign w:val="superscript"/>
          <w:lang w:bidi="ar"/>
        </w:rPr>
        <w:t>1,2</w:t>
      </w:r>
      <w:r w:rsidRPr="00802EA9">
        <w:rPr>
          <w:rFonts w:ascii="Times New Roman Regular" w:eastAsia="FrutigerLTStd-Bold" w:hAnsi="Times New Roman Regular" w:cs="Times New Roman Regular" w:hint="eastAsia"/>
          <w:bCs/>
          <w:color w:val="000000" w:themeColor="text1"/>
          <w:kern w:val="0"/>
          <w:szCs w:val="21"/>
          <w:lang w:bidi="ar"/>
        </w:rPr>
        <w:t>*</w:t>
      </w:r>
    </w:p>
    <w:p w14:paraId="521A6B86" w14:textId="77777777" w:rsidR="007E3C24" w:rsidRPr="00802EA9" w:rsidRDefault="007E3C24">
      <w:pPr>
        <w:spacing w:line="360" w:lineRule="auto"/>
        <w:jc w:val="center"/>
        <w:rPr>
          <w:rFonts w:ascii="Times New Roman" w:eastAsia="宋体" w:hAnsi="Times New Roman" w:cs="Times New Roman"/>
          <w:bCs/>
          <w:szCs w:val="21"/>
          <w:lang w:eastAsia="zh-Hans"/>
        </w:rPr>
      </w:pPr>
    </w:p>
    <w:p w14:paraId="1347D768" w14:textId="7D7F2BC2" w:rsidR="002C74D6" w:rsidRPr="00802EA9" w:rsidRDefault="004418BD">
      <w:pPr>
        <w:pStyle w:val="a9"/>
        <w:widowControl/>
        <w:spacing w:line="360" w:lineRule="auto"/>
        <w:contextualSpacing/>
        <w:jc w:val="both"/>
        <w:rPr>
          <w:rFonts w:ascii="Times New Roman" w:hAnsi="Times New Roman" w:cs="Times New Roman"/>
          <w:b/>
          <w:bCs/>
          <w:kern w:val="2"/>
          <w:sz w:val="21"/>
          <w:szCs w:val="21"/>
        </w:rPr>
      </w:pPr>
      <w:r w:rsidRPr="00802EA9">
        <w:rPr>
          <w:noProof/>
        </w:rPr>
        <w:drawing>
          <wp:inline distT="0" distB="0" distL="0" distR="0" wp14:anchorId="328EAA28" wp14:editId="533537FD">
            <wp:extent cx="5274310" cy="2932430"/>
            <wp:effectExtent l="0" t="0" r="2540" b="1270"/>
            <wp:docPr id="171348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291CD" w14:textId="0EB1335E" w:rsidR="007E3C24" w:rsidRPr="00802EA9" w:rsidRDefault="00000000">
      <w:pPr>
        <w:pStyle w:val="a9"/>
        <w:widowControl/>
        <w:spacing w:line="360" w:lineRule="auto"/>
        <w:contextualSpacing/>
        <w:jc w:val="both"/>
        <w:rPr>
          <w:rFonts w:ascii="Times New Roman" w:hAnsi="Times New Roman" w:cs="Times New Roman"/>
          <w:b/>
          <w:bCs/>
          <w:kern w:val="2"/>
          <w:sz w:val="21"/>
          <w:szCs w:val="21"/>
        </w:rPr>
      </w:pPr>
      <w:r w:rsidRPr="00802EA9">
        <w:rPr>
          <w:rFonts w:ascii="Times New Roman" w:hAnsi="Times New Roman" w:cs="Times New Roman"/>
          <w:b/>
          <w:bCs/>
          <w:kern w:val="2"/>
          <w:sz w:val="21"/>
          <w:szCs w:val="21"/>
        </w:rPr>
        <w:t>Fig</w:t>
      </w:r>
      <w:r w:rsidR="00905364" w:rsidRPr="00802EA9">
        <w:rPr>
          <w:rFonts w:ascii="Times New Roman" w:hAnsi="Times New Roman" w:cs="Times New Roman" w:hint="eastAsia"/>
          <w:b/>
          <w:bCs/>
          <w:kern w:val="2"/>
          <w:sz w:val="21"/>
          <w:szCs w:val="21"/>
        </w:rPr>
        <w:t>.</w:t>
      </w:r>
      <w:r w:rsidRPr="00802EA9">
        <w:rPr>
          <w:rFonts w:ascii="Times New Roman" w:hAnsi="Times New Roman" w:cs="Times New Roman"/>
          <w:b/>
          <w:bCs/>
          <w:kern w:val="2"/>
          <w:sz w:val="21"/>
          <w:szCs w:val="21"/>
        </w:rPr>
        <w:t xml:space="preserve"> 1 Persistent activation of phagocytes coincides with sustained lipid burden after spinal cord injury.</w:t>
      </w:r>
    </w:p>
    <w:p w14:paraId="0275E276" w14:textId="02CF7302" w:rsidR="007E3C24" w:rsidRPr="00802EA9" w:rsidRDefault="00796F51">
      <w:pPr>
        <w:pStyle w:val="a9"/>
        <w:widowControl/>
        <w:spacing w:line="360" w:lineRule="auto"/>
        <w:contextualSpacing/>
        <w:jc w:val="both"/>
        <w:rPr>
          <w:rFonts w:ascii="Times New Roman" w:hAnsi="Times New Roman" w:cs="Times New Roman"/>
          <w:bCs/>
          <w:kern w:val="2"/>
          <w:sz w:val="21"/>
          <w:szCs w:val="21"/>
          <w:lang w:eastAsia="zh-Hans"/>
        </w:rPr>
      </w:pPr>
      <w:r w:rsidRPr="00802EA9">
        <w:rPr>
          <w:rFonts w:ascii="Times New Roman" w:hAnsi="Times New Roman" w:cs="Times New Roman" w:hint="eastAsia"/>
          <w:bCs/>
          <w:sz w:val="21"/>
          <w:szCs w:val="21"/>
          <w:lang w:eastAsia="zh-Hans"/>
        </w:rPr>
        <w:t>(A)</w:t>
      </w:r>
      <w:r w:rsidRPr="00802EA9">
        <w:rPr>
          <w:rFonts w:ascii="Times New Roman" w:hAnsi="Times New Roman" w:cs="Times New Roman"/>
          <w:bCs/>
          <w:sz w:val="21"/>
          <w:szCs w:val="21"/>
          <w:lang w:eastAsia="zh-Hans"/>
        </w:rPr>
        <w:t xml:space="preserve"> Representative immunofluorescence images showing activated microglia/macrophages (CD68, magenta) co-stained with lipid droplets (BODIPY, green) and DAPI (blue) at indicated time points after SCI</w:t>
      </w:r>
      <w:r w:rsidRPr="00802EA9">
        <w:rPr>
          <w:rFonts w:ascii="Times New Roman" w:hAnsi="Times New Roman" w:cs="Times New Roman"/>
          <w:bCs/>
          <w:kern w:val="2"/>
          <w:sz w:val="21"/>
          <w:szCs w:val="21"/>
          <w:lang w:eastAsia="zh-Hans"/>
        </w:rPr>
        <w:t>, Scale bars=500 μm (overview) and 50 μm (magnified images).</w:t>
      </w:r>
    </w:p>
    <w:p w14:paraId="1DF8BD3B" w14:textId="6295F282" w:rsidR="007E3C24" w:rsidRPr="00802EA9" w:rsidRDefault="00796F51">
      <w:pPr>
        <w:pStyle w:val="a9"/>
        <w:widowControl/>
        <w:spacing w:line="360" w:lineRule="auto"/>
        <w:contextualSpacing/>
        <w:jc w:val="both"/>
        <w:rPr>
          <w:rFonts w:ascii="Times New Roman" w:hAnsi="Times New Roman" w:cs="Times New Roman"/>
          <w:bCs/>
          <w:szCs w:val="21"/>
          <w:lang w:eastAsia="zh-Hans"/>
        </w:rPr>
      </w:pPr>
      <w:r w:rsidRPr="00802EA9">
        <w:rPr>
          <w:rFonts w:ascii="Times New Roman" w:hAnsi="Times New Roman" w:cs="Times New Roman" w:hint="eastAsia"/>
          <w:bCs/>
          <w:szCs w:val="21"/>
          <w:lang w:eastAsia="zh-Hans"/>
        </w:rPr>
        <w:t xml:space="preserve">(B) </w:t>
      </w:r>
      <w:r w:rsidRPr="00802EA9">
        <w:rPr>
          <w:rFonts w:ascii="Times New Roman" w:hAnsi="Times New Roman" w:cs="Times New Roman"/>
          <w:bCs/>
          <w:sz w:val="21"/>
          <w:szCs w:val="21"/>
          <w:lang w:eastAsia="zh-Hans"/>
        </w:rPr>
        <w:t xml:space="preserve">Representative immunofluorescence images showing activated microglia/macrophages (CD68, magenta) co-stained with </w:t>
      </w:r>
      <w:r w:rsidRPr="00802EA9">
        <w:rPr>
          <w:rFonts w:ascii="Times New Roman" w:hAnsi="Times New Roman" w:cs="Times New Roman"/>
          <w:sz w:val="21"/>
          <w:szCs w:val="21"/>
        </w:rPr>
        <w:t>degraded myelin basic protein</w:t>
      </w:r>
      <w:r w:rsidRPr="00802EA9">
        <w:rPr>
          <w:rFonts w:ascii="Times New Roman" w:hAnsi="Times New Roman" w:cs="Times New Roman"/>
          <w:bCs/>
          <w:sz w:val="21"/>
          <w:szCs w:val="21"/>
          <w:lang w:eastAsia="zh-Hans"/>
        </w:rPr>
        <w:t xml:space="preserve"> (dMBP, green) and DAPI (blue) at indicated time points after SCI</w:t>
      </w:r>
      <w:r w:rsidRPr="00802EA9">
        <w:rPr>
          <w:rFonts w:ascii="Times New Roman" w:hAnsi="Times New Roman" w:cs="Times New Roman" w:hint="eastAsia"/>
          <w:bCs/>
          <w:sz w:val="21"/>
          <w:szCs w:val="21"/>
          <w:lang w:eastAsia="zh-Hans"/>
        </w:rPr>
        <w:t xml:space="preserve">, </w:t>
      </w:r>
      <w:r w:rsidRPr="00802EA9">
        <w:rPr>
          <w:rFonts w:ascii="Times New Roman" w:hAnsi="Times New Roman" w:cs="Times New Roman"/>
          <w:bCs/>
          <w:sz w:val="21"/>
          <w:szCs w:val="21"/>
          <w:lang w:eastAsia="zh-Hans"/>
        </w:rPr>
        <w:t>Scale bars= 500 μm (overview) and 50 μm (magnified images).</w:t>
      </w:r>
    </w:p>
    <w:p w14:paraId="6A80424B" w14:textId="77777777" w:rsidR="007E3C24" w:rsidRPr="00802EA9" w:rsidRDefault="007E3C24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</w:p>
    <w:p w14:paraId="6CB5F0CB" w14:textId="0F1ACF15" w:rsidR="002C74D6" w:rsidRPr="00802EA9" w:rsidRDefault="004418B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noProof/>
        </w:rPr>
        <w:lastRenderedPageBreak/>
        <w:drawing>
          <wp:inline distT="0" distB="0" distL="0" distR="0" wp14:anchorId="11C74B27" wp14:editId="26AB5B77">
            <wp:extent cx="5274310" cy="7436485"/>
            <wp:effectExtent l="0" t="0" r="2540" b="0"/>
            <wp:docPr id="21172676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3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C2A7C" w14:textId="318D26A5" w:rsidR="007E3C24" w:rsidRPr="00802EA9" w:rsidRDefault="0000000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rFonts w:ascii="Times New Roman" w:hAnsi="Times New Roman" w:cs="Times New Roman"/>
          <w:b/>
          <w:bCs/>
          <w:szCs w:val="21"/>
        </w:rPr>
        <w:t>Fig</w:t>
      </w:r>
      <w:r w:rsidR="00905364" w:rsidRPr="00802EA9">
        <w:rPr>
          <w:rFonts w:ascii="Times New Roman" w:hAnsi="Times New Roman" w:cs="Times New Roman" w:hint="eastAsia"/>
          <w:b/>
          <w:bCs/>
          <w:szCs w:val="21"/>
        </w:rPr>
        <w:t>.</w:t>
      </w:r>
      <w:r w:rsidRPr="00802EA9">
        <w:rPr>
          <w:rFonts w:ascii="Times New Roman" w:hAnsi="Times New Roman" w:cs="Times New Roman"/>
          <w:b/>
          <w:bCs/>
          <w:szCs w:val="21"/>
        </w:rPr>
        <w:t xml:space="preserve"> 2 Cell-type annotation and immune-state refinement validate clustering and highlight ABCA1-enriched efflux subpopulations.</w:t>
      </w:r>
    </w:p>
    <w:p w14:paraId="3476C3DF" w14:textId="1E8AF6B7" w:rsidR="007E3C24" w:rsidRPr="00802EA9" w:rsidRDefault="00796F51">
      <w:pPr>
        <w:spacing w:line="360" w:lineRule="auto"/>
        <w:rPr>
          <w:rFonts w:ascii="Times New Roman" w:hAnsi="Times New Roman" w:cs="Times New Roman"/>
        </w:rPr>
      </w:pPr>
      <w:r w:rsidRPr="00802EA9">
        <w:rPr>
          <w:rStyle w:val="ab"/>
          <w:rFonts w:ascii="Times New Roman" w:hAnsi="Times New Roman" w:cs="Times New Roman" w:hint="eastAsia"/>
          <w:b w:val="0"/>
          <w:bCs w:val="0"/>
        </w:rPr>
        <w:t>(A)</w:t>
      </w:r>
      <w:r w:rsidRPr="00802EA9">
        <w:rPr>
          <w:rFonts w:ascii="Times New Roman" w:hAnsi="Times New Roman" w:cs="Times New Roman"/>
          <w:b/>
          <w:bCs/>
        </w:rPr>
        <w:t xml:space="preserve"> </w:t>
      </w:r>
      <w:r w:rsidRPr="00802EA9">
        <w:rPr>
          <w:rFonts w:ascii="Times New Roman" w:hAnsi="Times New Roman" w:cs="Times New Roman"/>
        </w:rPr>
        <w:t>Dot plot of canonical marker genes supporting annotation of the 14 major cell classes in the snRNA-seq dataset.</w:t>
      </w:r>
    </w:p>
    <w:p w14:paraId="71C0ABE7" w14:textId="1E0CFBF1" w:rsidR="007E3C24" w:rsidRPr="00802EA9" w:rsidRDefault="00796F51">
      <w:pPr>
        <w:spacing w:line="360" w:lineRule="auto"/>
        <w:rPr>
          <w:rFonts w:ascii="Times New Roman" w:hAnsi="Times New Roman" w:cs="Times New Roman"/>
        </w:rPr>
      </w:pPr>
      <w:r w:rsidRPr="00802EA9">
        <w:rPr>
          <w:rStyle w:val="ab"/>
          <w:rFonts w:ascii="Times New Roman" w:hAnsi="Times New Roman" w:cs="Times New Roman" w:hint="eastAsia"/>
          <w:b w:val="0"/>
          <w:bCs w:val="0"/>
        </w:rPr>
        <w:lastRenderedPageBreak/>
        <w:t>(B)</w:t>
      </w:r>
      <w:r w:rsidRPr="00802EA9">
        <w:rPr>
          <w:rFonts w:ascii="Times New Roman" w:hAnsi="Times New Roman" w:cs="Times New Roman"/>
        </w:rPr>
        <w:t xml:space="preserve"> Heatmap of top marker genes across the 14 major cell classes, showing distinct transcriptional identities.</w:t>
      </w:r>
    </w:p>
    <w:p w14:paraId="669923FE" w14:textId="546C84A9" w:rsidR="007E3C24" w:rsidRPr="00802EA9" w:rsidRDefault="00796F51">
      <w:pPr>
        <w:spacing w:line="360" w:lineRule="auto"/>
        <w:rPr>
          <w:rFonts w:ascii="Times New Roman" w:hAnsi="Times New Roman" w:cs="Times New Roman"/>
        </w:rPr>
      </w:pPr>
      <w:r w:rsidRPr="00802EA9">
        <w:rPr>
          <w:rStyle w:val="ab"/>
          <w:rFonts w:ascii="Times New Roman" w:hAnsi="Times New Roman" w:cs="Times New Roman" w:hint="eastAsia"/>
          <w:b w:val="0"/>
          <w:bCs w:val="0"/>
        </w:rPr>
        <w:t>(C)</w:t>
      </w:r>
      <w:r w:rsidRPr="00802EA9">
        <w:rPr>
          <w:rFonts w:ascii="Times New Roman" w:hAnsi="Times New Roman" w:cs="Times New Roman"/>
        </w:rPr>
        <w:t xml:space="preserve"> Pairwise correlation (coefficient) heatmap among major cell classes, indicating robust inter-cluster separation.</w:t>
      </w:r>
    </w:p>
    <w:p w14:paraId="1D2976CA" w14:textId="33EA1900" w:rsidR="00796F51" w:rsidRPr="00802EA9" w:rsidRDefault="00796F51" w:rsidP="00796F51">
      <w:pPr>
        <w:pStyle w:val="a9"/>
        <w:widowControl/>
        <w:spacing w:beforeAutospacing="0" w:afterAutospacing="0" w:line="360" w:lineRule="auto"/>
        <w:contextualSpacing/>
        <w:jc w:val="both"/>
        <w:rPr>
          <w:rFonts w:ascii="Times New Roman" w:hAnsi="Times New Roman" w:cs="Times New Roman"/>
          <w:kern w:val="2"/>
          <w:sz w:val="21"/>
          <w:szCs w:val="21"/>
        </w:rPr>
      </w:pPr>
      <w:r w:rsidRPr="00802EA9">
        <w:rPr>
          <w:rFonts w:ascii="Times New Roman" w:hAnsi="Times New Roman" w:cs="Times New Roman" w:hint="eastAsia"/>
          <w:kern w:val="2"/>
          <w:sz w:val="21"/>
          <w:szCs w:val="21"/>
        </w:rPr>
        <w:t>(D)</w:t>
      </w:r>
      <w:r w:rsidRPr="00802EA9">
        <w:rPr>
          <w:rFonts w:ascii="Times New Roman" w:hAnsi="Times New Roman" w:cs="Times New Roman"/>
          <w:kern w:val="2"/>
          <w:sz w:val="21"/>
          <w:szCs w:val="21"/>
        </w:rPr>
        <w:t xml:space="preserve"> GO biological process enrichment analyses of microglial DEGs for each post-injury comparison versus SHAM.</w:t>
      </w:r>
    </w:p>
    <w:p w14:paraId="5ABEE58B" w14:textId="6F01D866" w:rsidR="00796F51" w:rsidRPr="00802EA9" w:rsidRDefault="00796F51" w:rsidP="00796F51">
      <w:pPr>
        <w:pStyle w:val="a9"/>
        <w:widowControl/>
        <w:spacing w:beforeAutospacing="0" w:afterAutospacing="0" w:line="360" w:lineRule="auto"/>
        <w:contextualSpacing/>
        <w:jc w:val="both"/>
        <w:rPr>
          <w:rFonts w:ascii="Times New Roman" w:hAnsi="Times New Roman" w:cs="Times New Roman"/>
          <w:kern w:val="2"/>
          <w:sz w:val="21"/>
          <w:szCs w:val="21"/>
        </w:rPr>
      </w:pPr>
      <w:r w:rsidRPr="00802EA9">
        <w:rPr>
          <w:rFonts w:ascii="Times New Roman" w:hAnsi="Times New Roman" w:cs="Times New Roman" w:hint="eastAsia"/>
          <w:kern w:val="2"/>
          <w:sz w:val="21"/>
          <w:szCs w:val="21"/>
        </w:rPr>
        <w:t>(E)</w:t>
      </w:r>
      <w:r w:rsidRPr="00802EA9">
        <w:rPr>
          <w:rFonts w:ascii="Times New Roman" w:hAnsi="Times New Roman" w:cs="Times New Roman"/>
          <w:kern w:val="2"/>
          <w:sz w:val="21"/>
          <w:szCs w:val="21"/>
        </w:rPr>
        <w:t xml:space="preserve"> GO biological process enrichment analyses of macrophage DEGs for each post-injury comparison versus SHAM.</w:t>
      </w:r>
    </w:p>
    <w:p w14:paraId="00B23217" w14:textId="6CDF9AF6" w:rsidR="007E3C24" w:rsidRPr="00802EA9" w:rsidRDefault="00796F51">
      <w:pPr>
        <w:spacing w:line="360" w:lineRule="auto"/>
        <w:rPr>
          <w:rFonts w:ascii="Times New Roman" w:hAnsi="Times New Roman" w:cs="Times New Roman"/>
        </w:rPr>
      </w:pPr>
      <w:r w:rsidRPr="00802EA9">
        <w:rPr>
          <w:rStyle w:val="ab"/>
          <w:rFonts w:ascii="Times New Roman" w:hAnsi="Times New Roman" w:cs="Times New Roman" w:hint="eastAsia"/>
          <w:b w:val="0"/>
          <w:bCs w:val="0"/>
        </w:rPr>
        <w:t>(F)</w:t>
      </w:r>
      <w:r w:rsidRPr="00802EA9">
        <w:rPr>
          <w:rFonts w:ascii="Times New Roman" w:hAnsi="Times New Roman" w:cs="Times New Roman"/>
        </w:rPr>
        <w:t xml:space="preserve"> Dot plot of canonical markers supporting annotation of immune cell classes in the CD45⁺ scRNA-seq dataset.</w:t>
      </w:r>
    </w:p>
    <w:p w14:paraId="584184F5" w14:textId="2DB08468" w:rsidR="007E3C24" w:rsidRPr="00802EA9" w:rsidRDefault="00796F51">
      <w:pPr>
        <w:spacing w:line="360" w:lineRule="auto"/>
        <w:rPr>
          <w:rFonts w:ascii="Times New Roman" w:hAnsi="Times New Roman" w:cs="Times New Roman"/>
        </w:rPr>
      </w:pPr>
      <w:r w:rsidRPr="00802EA9">
        <w:rPr>
          <w:rStyle w:val="ab"/>
          <w:rFonts w:ascii="Times New Roman" w:hAnsi="Times New Roman" w:cs="Times New Roman" w:hint="eastAsia"/>
          <w:b w:val="0"/>
          <w:bCs w:val="0"/>
        </w:rPr>
        <w:t>(G)</w:t>
      </w:r>
      <w:r w:rsidRPr="00802EA9">
        <w:rPr>
          <w:rFonts w:ascii="Times New Roman" w:hAnsi="Times New Roman" w:cs="Times New Roman"/>
        </w:rPr>
        <w:t xml:space="preserve"> Heatmap of top marker genes across CD45⁺ immune cell classes, demonstrating clear transcriptional separation.</w:t>
      </w:r>
    </w:p>
    <w:p w14:paraId="24FE3EFB" w14:textId="79D7EE31" w:rsidR="007E3C24" w:rsidRPr="00802EA9" w:rsidRDefault="00796F51">
      <w:pPr>
        <w:spacing w:line="360" w:lineRule="auto"/>
        <w:rPr>
          <w:rFonts w:ascii="Times New Roman" w:hAnsi="Times New Roman" w:cs="Times New Roman"/>
        </w:rPr>
      </w:pPr>
      <w:r w:rsidRPr="00802EA9">
        <w:rPr>
          <w:rStyle w:val="ab"/>
          <w:rFonts w:ascii="Times New Roman" w:hAnsi="Times New Roman" w:cs="Times New Roman" w:hint="eastAsia"/>
          <w:b w:val="0"/>
          <w:bCs w:val="0"/>
        </w:rPr>
        <w:t>(H)</w:t>
      </w:r>
      <w:r w:rsidRPr="00802EA9">
        <w:rPr>
          <w:rFonts w:ascii="Times New Roman" w:hAnsi="Times New Roman" w:cs="Times New Roman"/>
        </w:rPr>
        <w:t xml:space="preserve"> KEGG pathway enrichment summary across microglial (MG1–MG3) and macrophage (MP1–MP5) subclusters, supporting functional heterogeneity among subclusters.</w:t>
      </w:r>
    </w:p>
    <w:p w14:paraId="28F04FA7" w14:textId="60063F03" w:rsidR="007E3C24" w:rsidRPr="00802EA9" w:rsidRDefault="00796F51">
      <w:pPr>
        <w:spacing w:line="360" w:lineRule="auto"/>
        <w:rPr>
          <w:rFonts w:ascii="Times New Roman" w:hAnsi="Times New Roman" w:cs="Times New Roman"/>
        </w:rPr>
      </w:pPr>
      <w:r w:rsidRPr="00802EA9">
        <w:rPr>
          <w:rStyle w:val="ab"/>
          <w:rFonts w:ascii="Times New Roman" w:hAnsi="Times New Roman" w:cs="Times New Roman" w:hint="eastAsia"/>
          <w:b w:val="0"/>
          <w:bCs w:val="0"/>
        </w:rPr>
        <w:t>(I,J)</w:t>
      </w:r>
      <w:r w:rsidR="00905364" w:rsidRPr="00802EA9">
        <w:rPr>
          <w:rFonts w:ascii="Times New Roman" w:hAnsi="Times New Roman" w:cs="Times New Roman" w:hint="eastAsia"/>
        </w:rPr>
        <w:t xml:space="preserve"> f</w:t>
      </w:r>
      <w:r w:rsidRPr="00802EA9">
        <w:rPr>
          <w:rFonts w:ascii="Times New Roman" w:hAnsi="Times New Roman" w:cs="Times New Roman"/>
        </w:rPr>
        <w:t xml:space="preserve">eature plots showing expression of </w:t>
      </w:r>
      <w:r w:rsidRPr="00802EA9">
        <w:rPr>
          <w:rStyle w:val="ab"/>
          <w:rFonts w:ascii="Times New Roman" w:hAnsi="Times New Roman" w:cs="Times New Roman"/>
          <w:b w:val="0"/>
          <w:bCs w:val="0"/>
        </w:rPr>
        <w:t>ABCA1</w:t>
      </w:r>
      <w:r w:rsidRPr="00802EA9">
        <w:rPr>
          <w:rFonts w:ascii="Times New Roman" w:hAnsi="Times New Roman" w:cs="Times New Roman"/>
          <w:b/>
          <w:bCs/>
        </w:rPr>
        <w:t xml:space="preserve"> </w:t>
      </w:r>
      <w:r w:rsidRPr="00802EA9">
        <w:rPr>
          <w:rFonts w:ascii="Times New Roman" w:hAnsi="Times New Roman" w:cs="Times New Roman"/>
        </w:rPr>
        <w:t>and</w:t>
      </w:r>
      <w:r w:rsidRPr="00802EA9">
        <w:rPr>
          <w:rFonts w:ascii="Times New Roman" w:hAnsi="Times New Roman" w:cs="Times New Roman"/>
          <w:b/>
          <w:bCs/>
        </w:rPr>
        <w:t xml:space="preserve"> </w:t>
      </w:r>
      <w:r w:rsidRPr="00802EA9">
        <w:rPr>
          <w:rStyle w:val="ab"/>
          <w:rFonts w:ascii="Times New Roman" w:hAnsi="Times New Roman" w:cs="Times New Roman"/>
          <w:b w:val="0"/>
          <w:bCs w:val="0"/>
        </w:rPr>
        <w:t>ABCG1</w:t>
      </w:r>
      <w:r w:rsidRPr="00802EA9">
        <w:rPr>
          <w:rFonts w:ascii="Times New Roman" w:hAnsi="Times New Roman" w:cs="Times New Roman"/>
        </w:rPr>
        <w:t xml:space="preserve"> within microglial </w:t>
      </w:r>
      <w:r w:rsidRPr="00802EA9">
        <w:rPr>
          <w:rFonts w:ascii="Times New Roman" w:hAnsi="Times New Roman" w:cs="Times New Roman"/>
          <w:b/>
          <w:bCs/>
        </w:rPr>
        <w:t>(</w:t>
      </w:r>
      <w:r w:rsidRPr="00802EA9">
        <w:rPr>
          <w:rStyle w:val="ab"/>
          <w:rFonts w:ascii="Times New Roman" w:hAnsi="Times New Roman" w:cs="Times New Roman"/>
          <w:b w:val="0"/>
          <w:bCs w:val="0"/>
        </w:rPr>
        <w:t>g</w:t>
      </w:r>
      <w:r w:rsidRPr="00802EA9">
        <w:rPr>
          <w:rFonts w:ascii="Times New Roman" w:hAnsi="Times New Roman" w:cs="Times New Roman"/>
          <w:b/>
          <w:bCs/>
        </w:rPr>
        <w:t>)</w:t>
      </w:r>
      <w:r w:rsidRPr="00802EA9">
        <w:rPr>
          <w:rFonts w:ascii="Times New Roman" w:hAnsi="Times New Roman" w:cs="Times New Roman"/>
        </w:rPr>
        <w:t xml:space="preserve"> and macrophage </w:t>
      </w:r>
      <w:r w:rsidRPr="00802EA9">
        <w:rPr>
          <w:rFonts w:ascii="Times New Roman" w:hAnsi="Times New Roman" w:cs="Times New Roman"/>
          <w:b/>
          <w:bCs/>
        </w:rPr>
        <w:t>(</w:t>
      </w:r>
      <w:r w:rsidRPr="00802EA9">
        <w:rPr>
          <w:rStyle w:val="ab"/>
          <w:rFonts w:ascii="Times New Roman" w:hAnsi="Times New Roman" w:cs="Times New Roman"/>
          <w:b w:val="0"/>
          <w:bCs w:val="0"/>
        </w:rPr>
        <w:t>h</w:t>
      </w:r>
      <w:r w:rsidRPr="00802EA9">
        <w:rPr>
          <w:rFonts w:ascii="Times New Roman" w:hAnsi="Times New Roman" w:cs="Times New Roman"/>
          <w:b/>
          <w:bCs/>
        </w:rPr>
        <w:t>)</w:t>
      </w:r>
      <w:r w:rsidRPr="00802EA9">
        <w:rPr>
          <w:rFonts w:ascii="Times New Roman" w:hAnsi="Times New Roman" w:cs="Times New Roman"/>
        </w:rPr>
        <w:t xml:space="preserve"> subclusters across conditions.</w:t>
      </w:r>
    </w:p>
    <w:p w14:paraId="3D2660BA" w14:textId="374927A8" w:rsidR="007E3C24" w:rsidRPr="00802EA9" w:rsidRDefault="00796F51">
      <w:pPr>
        <w:spacing w:line="360" w:lineRule="auto"/>
        <w:rPr>
          <w:rFonts w:ascii="Times New Roman" w:hAnsi="Times New Roman" w:cs="Times New Roman"/>
        </w:rPr>
      </w:pPr>
      <w:r w:rsidRPr="00802EA9">
        <w:rPr>
          <w:rStyle w:val="ab"/>
          <w:rFonts w:ascii="Times New Roman" w:hAnsi="Times New Roman" w:cs="Times New Roman" w:hint="eastAsia"/>
          <w:b w:val="0"/>
          <w:bCs w:val="0"/>
        </w:rPr>
        <w:t>(K)</w:t>
      </w:r>
      <w:r w:rsidRPr="00802EA9">
        <w:rPr>
          <w:rFonts w:ascii="Times New Roman" w:hAnsi="Times New Roman" w:cs="Times New Roman"/>
        </w:rPr>
        <w:t xml:space="preserve"> Representative immunofluorescence images showing ABCA1 and ABCG1 signals in IBA1+ phagocytes across indicated stages after SCI.</w:t>
      </w:r>
      <w:r w:rsidR="00AC2C88" w:rsidRPr="00802EA9">
        <w:rPr>
          <w:rFonts w:ascii="Times New Roman" w:hAnsi="Times New Roman" w:cs="Times New Roman"/>
          <w:bCs/>
          <w:szCs w:val="21"/>
          <w:lang w:eastAsia="zh-Hans"/>
        </w:rPr>
        <w:t xml:space="preserve"> Scale bars</w:t>
      </w:r>
      <w:r w:rsidR="00AC2C88" w:rsidRPr="00802EA9">
        <w:rPr>
          <w:rFonts w:ascii="Times New Roman" w:hAnsi="Times New Roman" w:cs="Times New Roman" w:hint="eastAsia"/>
          <w:bCs/>
          <w:szCs w:val="21"/>
          <w:lang w:eastAsia="zh-Hans"/>
        </w:rPr>
        <w:t>=</w:t>
      </w:r>
      <w:r w:rsidR="00AC2C88" w:rsidRPr="00802EA9">
        <w:rPr>
          <w:rFonts w:ascii="Times New Roman" w:hAnsi="Times New Roman" w:cs="Times New Roman"/>
          <w:bCs/>
          <w:szCs w:val="21"/>
          <w:lang w:eastAsia="zh-Hans"/>
        </w:rPr>
        <w:t>500μm</w:t>
      </w:r>
      <w:r w:rsidR="00AC2C88" w:rsidRPr="00802EA9">
        <w:rPr>
          <w:rFonts w:ascii="Times New Roman" w:hAnsi="Times New Roman" w:cs="Times New Roman" w:hint="eastAsia"/>
          <w:bCs/>
          <w:szCs w:val="21"/>
          <w:lang w:eastAsia="zh-Hans"/>
        </w:rPr>
        <w:t>.</w:t>
      </w:r>
    </w:p>
    <w:p w14:paraId="22923F9F" w14:textId="545E627F" w:rsidR="00AC2C88" w:rsidRPr="00802EA9" w:rsidRDefault="00AC2C88">
      <w:pPr>
        <w:spacing w:line="360" w:lineRule="auto"/>
        <w:rPr>
          <w:rStyle w:val="ab"/>
          <w:rFonts w:ascii="Times New Roman" w:hAnsi="Times New Roman" w:cs="Times New Roman"/>
          <w:b w:val="0"/>
          <w:bCs w:val="0"/>
        </w:rPr>
      </w:pPr>
      <w:r w:rsidRPr="00802EA9">
        <w:rPr>
          <w:rStyle w:val="ab"/>
          <w:rFonts w:ascii="Times New Roman" w:hAnsi="Times New Roman" w:cs="Times New Roman"/>
          <w:b w:val="0"/>
          <w:bCs w:val="0"/>
        </w:rPr>
        <w:t>(L) Representative immunofluorescence images showing L</w:t>
      </w:r>
      <w:r w:rsidRPr="00802EA9">
        <w:rPr>
          <w:rStyle w:val="ab"/>
          <w:rFonts w:ascii="Times New Roman" w:hAnsi="Times New Roman" w:cs="Times New Roman" w:hint="eastAsia"/>
          <w:b w:val="0"/>
          <w:bCs w:val="0"/>
        </w:rPr>
        <w:t>gals</w:t>
      </w:r>
      <w:r w:rsidRPr="00802EA9">
        <w:rPr>
          <w:rStyle w:val="ab"/>
          <w:rFonts w:ascii="Times New Roman" w:hAnsi="Times New Roman" w:cs="Times New Roman"/>
          <w:b w:val="0"/>
          <w:bCs w:val="0"/>
        </w:rPr>
        <w:t xml:space="preserve">3 expression in spinal cord sections from SHAM and SCI mice at 7, 14, and 30 days post-injury. </w:t>
      </w:r>
      <w:r w:rsidRPr="00802EA9">
        <w:rPr>
          <w:rFonts w:ascii="Times New Roman" w:hAnsi="Times New Roman" w:cs="Times New Roman"/>
          <w:bCs/>
          <w:szCs w:val="21"/>
          <w:lang w:eastAsia="zh-Hans"/>
        </w:rPr>
        <w:t>Scale bars</w:t>
      </w:r>
      <w:r w:rsidRPr="00802EA9">
        <w:rPr>
          <w:rFonts w:ascii="Times New Roman" w:hAnsi="Times New Roman" w:cs="Times New Roman" w:hint="eastAsia"/>
          <w:bCs/>
          <w:szCs w:val="21"/>
          <w:lang w:eastAsia="zh-Hans"/>
        </w:rPr>
        <w:t>=</w:t>
      </w:r>
      <w:r w:rsidRPr="00802EA9">
        <w:rPr>
          <w:rFonts w:ascii="Times New Roman" w:hAnsi="Times New Roman" w:cs="Times New Roman"/>
          <w:bCs/>
          <w:szCs w:val="21"/>
          <w:lang w:eastAsia="zh-Hans"/>
        </w:rPr>
        <w:t>500μm (overview) and 50μm (magnified images).</w:t>
      </w:r>
    </w:p>
    <w:p w14:paraId="04598196" w14:textId="77777777" w:rsidR="007E3C24" w:rsidRPr="00802EA9" w:rsidRDefault="007E3C24">
      <w:pPr>
        <w:pStyle w:val="ae"/>
        <w:spacing w:line="360" w:lineRule="auto"/>
        <w:ind w:left="360" w:firstLineChars="0" w:firstLine="0"/>
        <w:rPr>
          <w:rFonts w:ascii="Times New Roman" w:eastAsia="宋体" w:hAnsi="Times New Roman" w:cs="Times New Roman"/>
          <w:bCs/>
          <w:szCs w:val="21"/>
          <w:lang w:eastAsia="zh-Hans"/>
        </w:rPr>
      </w:pPr>
    </w:p>
    <w:p w14:paraId="5334F6D2" w14:textId="04DB6B67" w:rsidR="002C74D6" w:rsidRPr="00802EA9" w:rsidRDefault="004418B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noProof/>
        </w:rPr>
        <w:lastRenderedPageBreak/>
        <w:drawing>
          <wp:inline distT="0" distB="0" distL="0" distR="0" wp14:anchorId="33FE335E" wp14:editId="310E20A6">
            <wp:extent cx="5274310" cy="7585710"/>
            <wp:effectExtent l="0" t="0" r="2540" b="0"/>
            <wp:docPr id="16603109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8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D0BF0" w14:textId="708801AF" w:rsidR="007E3C24" w:rsidRPr="00802EA9" w:rsidRDefault="0000000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rFonts w:ascii="Times New Roman" w:hAnsi="Times New Roman" w:cs="Times New Roman"/>
          <w:b/>
          <w:bCs/>
          <w:szCs w:val="21"/>
        </w:rPr>
        <w:t>Fig</w:t>
      </w:r>
      <w:r w:rsidR="00905364" w:rsidRPr="00802EA9">
        <w:rPr>
          <w:rFonts w:ascii="Times New Roman" w:hAnsi="Times New Roman" w:cs="Times New Roman" w:hint="eastAsia"/>
          <w:b/>
          <w:bCs/>
          <w:szCs w:val="21"/>
        </w:rPr>
        <w:t>.</w:t>
      </w:r>
      <w:r w:rsidRPr="00802EA9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802EA9">
        <w:rPr>
          <w:rFonts w:ascii="Times New Roman" w:hAnsi="Times New Roman" w:cs="Times New Roman"/>
          <w:b/>
          <w:bCs/>
          <w:szCs w:val="21"/>
        </w:rPr>
        <w:t>3 Genotyping validation and ABCA1 deletion enhances oxidative stress, inflammatory signaling, and gait abnormalities after SCI.</w:t>
      </w:r>
    </w:p>
    <w:p w14:paraId="4BA0FF58" w14:textId="59377CEB" w:rsidR="00462BE2" w:rsidRPr="00802EA9" w:rsidRDefault="00462BE2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(A) Representative immunofluorescence images showing ABCA1 expression in spinal cord sections from SHAM and SCI mice at 7, 14, and 30 days post-injury. ABCA1 (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yellow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) is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lastRenderedPageBreak/>
        <w:t>co-stained with IBA1 (red) or CD68 (magenta), with DAPI (blue) labeling nuclei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,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Scale bars=500μm (overview) and 50μm (magnified images).</w:t>
      </w:r>
    </w:p>
    <w:p w14:paraId="6D4FFC15" w14:textId="1CB6DD7B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462BE2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B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Representative PCR genotyping gel electrophoresis for Abca1</w:t>
      </w:r>
      <w:r w:rsidRPr="00802EA9">
        <w:rPr>
          <w:rFonts w:ascii="Times New Roman" w:eastAsia="宋体" w:hAnsi="Times New Roman" w:cs="Times New Roman"/>
          <w:bCs/>
          <w:szCs w:val="21"/>
          <w:vertAlign w:val="superscript"/>
          <w:lang w:eastAsia="zh-Hans"/>
        </w:rPr>
        <w:t>flox/flox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alleles.</w:t>
      </w:r>
      <w:r w:rsidRPr="00802EA9">
        <w:rPr>
          <w:rFonts w:hint="eastAsia"/>
        </w:rPr>
        <w:t xml:space="preserve">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Homozygous floxed mice display a single band at 334 bp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.</w:t>
      </w:r>
    </w:p>
    <w:p w14:paraId="3086A23F" w14:textId="5345276F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462BE2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C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Representative PCR genotyping gel electrophoresis for Cx3cr1</w:t>
      </w:r>
      <w:r w:rsidRPr="00802EA9">
        <w:rPr>
          <w:rFonts w:ascii="Times New Roman" w:eastAsia="宋体" w:hAnsi="Times New Roman" w:cs="Times New Roman"/>
          <w:bCs/>
          <w:szCs w:val="21"/>
          <w:vertAlign w:val="superscript"/>
          <w:lang w:eastAsia="zh-Hans"/>
        </w:rPr>
        <w:t>CreER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alleles.</w:t>
      </w:r>
      <w:r w:rsidRPr="00802EA9">
        <w:t xml:space="preserve">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Heterozygous mice exhibit two bands at 695 bp and 300 bp, whereas homozygous mice show a single band at 300 bp.</w:t>
      </w:r>
    </w:p>
    <w:p w14:paraId="380B2507" w14:textId="7C9AB766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462BE2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D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Representative immunofluorescence images showing activated microglia/macrophages (CD68, magenta) co-stained with lipid droplets (BODIPY, green) and DAPI (blue) in ABCA1</w:t>
      </w:r>
      <w:r w:rsidRPr="00802EA9">
        <w:rPr>
          <w:rFonts w:ascii="Times New Roman" w:eastAsia="宋体" w:hAnsi="Times New Roman" w:cs="Times New Roman"/>
          <w:bCs/>
          <w:szCs w:val="21"/>
          <w:vertAlign w:val="superscript"/>
          <w:lang w:eastAsia="zh-Hans"/>
        </w:rPr>
        <w:t>f/f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and ABCA1-CKO mice at indicated time points after SCI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,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Scale bars=500μm (overview) and 50μm (magnified images).</w:t>
      </w:r>
    </w:p>
    <w:p w14:paraId="1E9844BA" w14:textId="28DA9BC6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462BE2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E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Representative immunofluorescence images showing activated microglia/macrophages (CD68, magenta) co-stained with degraded myelin (dMBP, green) and DAPI (blue) in ABCA1</w:t>
      </w:r>
      <w:r w:rsidRPr="00802EA9">
        <w:rPr>
          <w:rFonts w:ascii="Times New Roman" w:eastAsia="宋体" w:hAnsi="Times New Roman" w:cs="Times New Roman"/>
          <w:bCs/>
          <w:szCs w:val="21"/>
          <w:vertAlign w:val="superscript"/>
          <w:lang w:eastAsia="zh-Hans"/>
        </w:rPr>
        <w:t>f/f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and ABCA1-CKO mice</w:t>
      </w:r>
      <w:r w:rsidRPr="00802EA9">
        <w:rPr>
          <w:rFonts w:ascii="Times New Roman" w:hAnsi="Times New Roman" w:cs="Times New Roman"/>
          <w:szCs w:val="21"/>
        </w:rPr>
        <w:t>, Scale bars=500μm (overview) and 50μm (magnified images).</w:t>
      </w:r>
    </w:p>
    <w:p w14:paraId="52915C7A" w14:textId="605644C1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462BE2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F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Representative ROS staining images from isolated spinal cord tissues at indicated time points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,</w:t>
      </w:r>
      <w:r w:rsidRPr="00802EA9">
        <w:rPr>
          <w:rFonts w:ascii="Times New Roman" w:hAnsi="Times New Roman" w:cs="Times New Roman"/>
          <w:szCs w:val="21"/>
        </w:rPr>
        <w:t xml:space="preserve"> Scale bars=500μm.</w:t>
      </w:r>
    </w:p>
    <w:p w14:paraId="2D95840C" w14:textId="1751956E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462BE2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G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Quantification of ROS integrated fluorescence intensity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 (</w:t>
      </w:r>
      <w:r w:rsidRPr="00802EA9">
        <w:rPr>
          <w:rFonts w:ascii="Times New Roman" w:hAnsi="Times New Roman" w:cs="Times New Roman"/>
          <w:szCs w:val="21"/>
        </w:rPr>
        <w:t>n=6</w:t>
      </w:r>
      <w:r w:rsidRPr="00802EA9">
        <w:rPr>
          <w:rFonts w:ascii="Times New Roman" w:hAnsi="Times New Roman" w:cs="Times New Roman" w:hint="eastAsia"/>
          <w:szCs w:val="21"/>
        </w:rPr>
        <w:t>)</w:t>
      </w:r>
      <w:r w:rsidRPr="00802EA9">
        <w:rPr>
          <w:rFonts w:ascii="Times New Roman" w:hAnsi="Times New Roman" w:cs="Times New Roman"/>
          <w:szCs w:val="21"/>
        </w:rPr>
        <w:t>.</w:t>
      </w:r>
    </w:p>
    <w:p w14:paraId="5BF77E06" w14:textId="6B3BF345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462BE2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H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Heatmap showing relative expression of IL-1β, IL-6, and TNF-α in ABCA1-CKO versus ABCA1</w:t>
      </w:r>
      <w:r w:rsidRPr="00802EA9">
        <w:rPr>
          <w:rFonts w:ascii="Times New Roman" w:eastAsia="宋体" w:hAnsi="Times New Roman" w:cs="Times New Roman"/>
          <w:bCs/>
          <w:szCs w:val="21"/>
          <w:vertAlign w:val="superscript"/>
          <w:lang w:eastAsia="zh-Hans"/>
        </w:rPr>
        <w:t>f/f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mice across time points.</w:t>
      </w:r>
    </w:p>
    <w:p w14:paraId="3D9E8F7F" w14:textId="07F77AE5" w:rsidR="007E3C24" w:rsidRPr="00802EA9" w:rsidRDefault="00796F51">
      <w:pPr>
        <w:spacing w:line="360" w:lineRule="auto"/>
        <w:rPr>
          <w:rFonts w:ascii="Times New Roman" w:hAnsi="Times New Roman" w:cs="Times New Roman"/>
          <w:szCs w:val="21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462BE2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I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Quantification of additional CatWalk gait parameters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 </w:t>
      </w:r>
      <w:r w:rsidRPr="00802EA9">
        <w:rPr>
          <w:rFonts w:ascii="Times New Roman" w:hAnsi="Times New Roman" w:cs="Times New Roman" w:hint="eastAsia"/>
          <w:szCs w:val="21"/>
        </w:rPr>
        <w:t>(</w:t>
      </w:r>
      <w:r w:rsidRPr="00802EA9">
        <w:rPr>
          <w:rFonts w:ascii="Times New Roman" w:hAnsi="Times New Roman" w:cs="Times New Roman"/>
          <w:szCs w:val="21"/>
        </w:rPr>
        <w:t>n=6</w:t>
      </w:r>
      <w:r w:rsidRPr="00802EA9">
        <w:rPr>
          <w:rFonts w:ascii="Times New Roman" w:hAnsi="Times New Roman" w:cs="Times New Roman" w:hint="eastAsia"/>
          <w:szCs w:val="21"/>
        </w:rPr>
        <w:t>)</w:t>
      </w:r>
      <w:r w:rsidRPr="00802EA9">
        <w:rPr>
          <w:rFonts w:ascii="Times New Roman" w:hAnsi="Times New Roman" w:cs="Times New Roman"/>
          <w:szCs w:val="21"/>
        </w:rPr>
        <w:t>.</w:t>
      </w:r>
    </w:p>
    <w:p w14:paraId="6BB5BF06" w14:textId="24B58522" w:rsidR="007E3C24" w:rsidRPr="00802EA9" w:rsidRDefault="00000000">
      <w:pPr>
        <w:spacing w:line="360" w:lineRule="auto"/>
        <w:rPr>
          <w:rFonts w:ascii="Times New Roman" w:hAnsi="Times New Roman" w:cs="Times New Roman"/>
          <w:szCs w:val="21"/>
        </w:rPr>
      </w:pPr>
      <w:r w:rsidRPr="00802EA9">
        <w:rPr>
          <w:rFonts w:ascii="Times New Roman" w:hAnsi="Times New Roman" w:cs="Times New Roman"/>
          <w:szCs w:val="21"/>
        </w:rPr>
        <w:t>Data are presented as mean ± SEM. ns indicates no significance, *, P &lt; 0.05; **, P &lt; 0.01; ***, P &lt; 0.001; ****, P &lt; 0.0001 by two-way ANOVA with Tukey’s test for multiple comparisons (</w:t>
      </w:r>
      <w:r w:rsidR="00796F51" w:rsidRPr="00802EA9">
        <w:rPr>
          <w:rFonts w:ascii="Times New Roman" w:hAnsi="Times New Roman" w:cs="Times New Roman" w:hint="eastAsia"/>
          <w:szCs w:val="21"/>
        </w:rPr>
        <w:t>F</w:t>
      </w:r>
      <w:r w:rsidRPr="00802EA9">
        <w:rPr>
          <w:rFonts w:ascii="Times New Roman" w:hAnsi="Times New Roman" w:cs="Times New Roman"/>
          <w:szCs w:val="21"/>
        </w:rPr>
        <w:t>), one-way ANOVA with Tukey’s test (</w:t>
      </w:r>
      <w:r w:rsidR="00796F51" w:rsidRPr="00802EA9">
        <w:rPr>
          <w:rFonts w:ascii="Times New Roman" w:hAnsi="Times New Roman" w:cs="Times New Roman" w:hint="eastAsia"/>
          <w:szCs w:val="21"/>
        </w:rPr>
        <w:t>H</w:t>
      </w:r>
      <w:r w:rsidRPr="00802EA9">
        <w:rPr>
          <w:rFonts w:ascii="Times New Roman" w:hAnsi="Times New Roman" w:cs="Times New Roman"/>
          <w:szCs w:val="21"/>
        </w:rPr>
        <w:t>).</w:t>
      </w:r>
    </w:p>
    <w:p w14:paraId="366E4A5B" w14:textId="77777777" w:rsidR="007E3C24" w:rsidRPr="00802EA9" w:rsidRDefault="007E3C24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</w:p>
    <w:p w14:paraId="4A36D83A" w14:textId="31112C61" w:rsidR="002C74D6" w:rsidRPr="00802EA9" w:rsidRDefault="004418B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noProof/>
        </w:rPr>
        <w:lastRenderedPageBreak/>
        <w:drawing>
          <wp:inline distT="0" distB="0" distL="0" distR="0" wp14:anchorId="563F6711" wp14:editId="1DDB248F">
            <wp:extent cx="5274310" cy="7611110"/>
            <wp:effectExtent l="0" t="0" r="2540" b="8890"/>
            <wp:docPr id="19076643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61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76498" w14:textId="78F68B67" w:rsidR="007E3C24" w:rsidRPr="00802EA9" w:rsidRDefault="0000000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rFonts w:ascii="Times New Roman" w:hAnsi="Times New Roman" w:cs="Times New Roman"/>
          <w:b/>
          <w:bCs/>
          <w:szCs w:val="21"/>
        </w:rPr>
        <w:t>Fig</w:t>
      </w:r>
      <w:r w:rsidR="00905364" w:rsidRPr="00802EA9">
        <w:rPr>
          <w:rFonts w:ascii="Times New Roman" w:hAnsi="Times New Roman" w:cs="Times New Roman" w:hint="eastAsia"/>
          <w:b/>
          <w:bCs/>
          <w:szCs w:val="21"/>
        </w:rPr>
        <w:t>.</w:t>
      </w:r>
      <w:r w:rsidRPr="00802EA9">
        <w:rPr>
          <w:rFonts w:ascii="Times New Roman" w:hAnsi="Times New Roman" w:cs="Times New Roman"/>
          <w:b/>
          <w:bCs/>
          <w:szCs w:val="21"/>
        </w:rPr>
        <w:t xml:space="preserve"> 4 Candidate compound triage, safety evaluation, and dose selection for Z231 in vitro and in vivo.</w:t>
      </w:r>
    </w:p>
    <w:p w14:paraId="424AE566" w14:textId="30CE0856" w:rsidR="007E3C24" w:rsidRPr="00802EA9" w:rsidRDefault="00796F51">
      <w:pPr>
        <w:spacing w:line="360" w:lineRule="auto"/>
        <w:rPr>
          <w:rFonts w:ascii="Times New Roman" w:hAnsi="Times New Roman" w:cs="Times New Roman"/>
          <w:szCs w:val="21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(A)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Representative immunofluorescence images (DAPI/BODIPY/IBA1) showing lipid droplet responses in primary microglia after MD stimulation and treatment with the top docking-ranked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lastRenderedPageBreak/>
        <w:t xml:space="preserve">candidate compounds. </w:t>
      </w:r>
      <w:r w:rsidRPr="00802EA9">
        <w:rPr>
          <w:rFonts w:ascii="Times New Roman" w:hAnsi="Times New Roman" w:cs="Times New Roman"/>
          <w:szCs w:val="21"/>
        </w:rPr>
        <w:t>Scale bars=100μm.</w:t>
      </w:r>
    </w:p>
    <w:p w14:paraId="0C6E420F" w14:textId="574C4191" w:rsidR="007023F6" w:rsidRPr="00802EA9" w:rsidRDefault="007023F6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(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B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) Representative immunofluorescence images showing lipid droplet accumulation in the human microglial cell line HMC3 following MD challenge and Z231 treatment. </w:t>
      </w:r>
      <w:r w:rsidRPr="00802EA9">
        <w:rPr>
          <w:rFonts w:ascii="Times New Roman" w:hAnsi="Times New Roman" w:cs="Times New Roman"/>
          <w:szCs w:val="21"/>
        </w:rPr>
        <w:t>Scale bars=1</w:t>
      </w:r>
      <w:r w:rsidRPr="00802EA9">
        <w:rPr>
          <w:rFonts w:ascii="Times New Roman" w:hAnsi="Times New Roman" w:cs="Times New Roman" w:hint="eastAsia"/>
          <w:szCs w:val="21"/>
        </w:rPr>
        <w:t>5</w:t>
      </w:r>
      <w:r w:rsidRPr="00802EA9">
        <w:rPr>
          <w:rFonts w:ascii="Times New Roman" w:hAnsi="Times New Roman" w:cs="Times New Roman"/>
          <w:szCs w:val="21"/>
        </w:rPr>
        <w:t>0μm.</w:t>
      </w:r>
    </w:p>
    <w:p w14:paraId="4E4F4D26" w14:textId="55285F6B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7023F6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C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CCK-8 viability curves for candidate compounds used for cellular triage (IC50 values indicated in plots).</w:t>
      </w:r>
    </w:p>
    <w:p w14:paraId="534F9580" w14:textId="2E5061E7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7023F6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D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Serum biochemistry indices (CK, ALT, AST, BUN, CREA) after systemic administration of Z231 at indicated doses, assessing potential cardiac, hepatic, and renal toxicity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 (</w:t>
      </w:r>
      <w:r w:rsidRPr="00802EA9">
        <w:rPr>
          <w:rFonts w:ascii="Times New Roman" w:hAnsi="Times New Roman" w:cs="Times New Roman"/>
          <w:szCs w:val="21"/>
        </w:rPr>
        <w:t>n=6</w:t>
      </w:r>
      <w:r w:rsidRPr="00802EA9">
        <w:rPr>
          <w:rFonts w:ascii="Times New Roman" w:hAnsi="Times New Roman" w:cs="Times New Roman" w:hint="eastAsia"/>
          <w:szCs w:val="21"/>
        </w:rPr>
        <w:t>)</w:t>
      </w:r>
      <w:r w:rsidRPr="00802EA9">
        <w:rPr>
          <w:rFonts w:ascii="Times New Roman" w:hAnsi="Times New Roman" w:cs="Times New Roman"/>
          <w:szCs w:val="21"/>
        </w:rPr>
        <w:t>.</w:t>
      </w:r>
    </w:p>
    <w:p w14:paraId="2F274284" w14:textId="5C9CAD71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7023F6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E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H&amp;E staining of heart, liver, and kidney following Z231 treatment at indicated doses</w:t>
      </w:r>
      <w:r w:rsidRPr="00802EA9">
        <w:rPr>
          <w:rFonts w:ascii="Times New Roman" w:hAnsi="Times New Roman" w:cs="Times New Roman"/>
          <w:szCs w:val="21"/>
        </w:rPr>
        <w:t>, Scale bars=500μm.</w:t>
      </w:r>
    </w:p>
    <w:p w14:paraId="102F94D4" w14:textId="0ED4E2FC" w:rsidR="007E3C24" w:rsidRPr="00802EA9" w:rsidRDefault="00796F51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7023F6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F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In vitro dose-response evaluation of Z231 in primary microglia after MD stimulation, supporting selection of 5μM for subsequent cell-based experiments</w:t>
      </w:r>
      <w:r w:rsidRPr="00802EA9">
        <w:rPr>
          <w:rFonts w:ascii="Times New Roman" w:hAnsi="Times New Roman" w:cs="Times New Roman"/>
          <w:szCs w:val="21"/>
        </w:rPr>
        <w:t>, Scale bars=1</w:t>
      </w:r>
      <w:r w:rsidR="007023F6" w:rsidRPr="00802EA9">
        <w:rPr>
          <w:rFonts w:ascii="Times New Roman" w:hAnsi="Times New Roman" w:cs="Times New Roman" w:hint="eastAsia"/>
          <w:szCs w:val="21"/>
        </w:rPr>
        <w:t>5</w:t>
      </w:r>
      <w:r w:rsidRPr="00802EA9">
        <w:rPr>
          <w:rFonts w:ascii="Times New Roman" w:hAnsi="Times New Roman" w:cs="Times New Roman"/>
          <w:szCs w:val="21"/>
        </w:rPr>
        <w:t>0μm.</w:t>
      </w:r>
    </w:p>
    <w:p w14:paraId="5AA67B26" w14:textId="2BC65369" w:rsidR="007E3C24" w:rsidRPr="00802EA9" w:rsidRDefault="00796F51">
      <w:pPr>
        <w:spacing w:line="360" w:lineRule="auto"/>
        <w:rPr>
          <w:rFonts w:ascii="Times New Roman" w:hAnsi="Times New Roman" w:cs="Times New Roman"/>
          <w:szCs w:val="21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</w:t>
      </w:r>
      <w:r w:rsidR="007023F6"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G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In vivo dose exploration of Z231 following SCI, showing reduced lipid droplet accumulation at ≥100 mg/kg at 14 dpi and supporting selection of 100 mg/kg for subsequent animal studies</w:t>
      </w:r>
      <w:r w:rsidRPr="00802EA9">
        <w:rPr>
          <w:rFonts w:ascii="Times New Roman" w:hAnsi="Times New Roman" w:cs="Times New Roman"/>
          <w:szCs w:val="21"/>
        </w:rPr>
        <w:t>, Scale bars=500μm.</w:t>
      </w:r>
    </w:p>
    <w:p w14:paraId="551B466E" w14:textId="6F978D0F" w:rsidR="007E3C24" w:rsidRPr="00802EA9" w:rsidRDefault="00000000">
      <w:pPr>
        <w:spacing w:line="360" w:lineRule="auto"/>
        <w:rPr>
          <w:rFonts w:ascii="Times New Roman" w:hAnsi="Times New Roman" w:cs="Times New Roman"/>
          <w:szCs w:val="21"/>
        </w:rPr>
      </w:pPr>
      <w:r w:rsidRPr="00802EA9">
        <w:rPr>
          <w:rFonts w:ascii="Times New Roman" w:hAnsi="Times New Roman" w:cs="Times New Roman"/>
          <w:szCs w:val="21"/>
        </w:rPr>
        <w:t>Data are presented as mean ± SEM. ns indicates no significance by one-way ANOVA with Tukey’s test for multiple comparisons (</w:t>
      </w:r>
      <w:r w:rsidR="003A1D6D" w:rsidRPr="00802EA9">
        <w:rPr>
          <w:rFonts w:ascii="Times New Roman" w:hAnsi="Times New Roman" w:cs="Times New Roman" w:hint="eastAsia"/>
          <w:szCs w:val="21"/>
        </w:rPr>
        <w:t>C</w:t>
      </w:r>
      <w:r w:rsidRPr="00802EA9">
        <w:rPr>
          <w:rFonts w:ascii="Times New Roman" w:hAnsi="Times New Roman" w:cs="Times New Roman"/>
          <w:szCs w:val="21"/>
        </w:rPr>
        <w:t>).</w:t>
      </w:r>
    </w:p>
    <w:p w14:paraId="1269BBB6" w14:textId="77777777" w:rsidR="007E3C24" w:rsidRPr="00802EA9" w:rsidRDefault="007E3C24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</w:p>
    <w:p w14:paraId="4BD96B84" w14:textId="193765EE" w:rsidR="002C74D6" w:rsidRPr="00802EA9" w:rsidRDefault="004418B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noProof/>
        </w:rPr>
        <w:lastRenderedPageBreak/>
        <w:drawing>
          <wp:inline distT="0" distB="0" distL="0" distR="0" wp14:anchorId="3DE26CBE" wp14:editId="66BE376E">
            <wp:extent cx="5274310" cy="4314190"/>
            <wp:effectExtent l="0" t="0" r="2540" b="0"/>
            <wp:docPr id="10759936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1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2EF1C" w14:textId="4E422C2A" w:rsidR="007E3C24" w:rsidRPr="00802EA9" w:rsidRDefault="0000000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rFonts w:ascii="Times New Roman" w:hAnsi="Times New Roman" w:cs="Times New Roman"/>
          <w:b/>
          <w:bCs/>
          <w:szCs w:val="21"/>
        </w:rPr>
        <w:t>Fig</w:t>
      </w:r>
      <w:r w:rsidR="00905364" w:rsidRPr="00802EA9">
        <w:rPr>
          <w:rFonts w:ascii="Times New Roman" w:hAnsi="Times New Roman" w:cs="Times New Roman" w:hint="eastAsia"/>
          <w:b/>
          <w:bCs/>
          <w:szCs w:val="21"/>
        </w:rPr>
        <w:t>.</w:t>
      </w:r>
      <w:r w:rsidRPr="00802EA9">
        <w:rPr>
          <w:rFonts w:ascii="Times New Roman" w:hAnsi="Times New Roman" w:cs="Times New Roman"/>
          <w:b/>
          <w:bCs/>
          <w:szCs w:val="21"/>
        </w:rPr>
        <w:t xml:space="preserve"> 5 Z231 partially restores mitochondrial respiration and limits glycolytic dependence in myelin debris–stimulated primary microglia.</w:t>
      </w:r>
    </w:p>
    <w:p w14:paraId="71ABF5A3" w14:textId="18A4C542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(A)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qPCR quantification of chemokine transcripts induced by MD stimulation and modulated by Z231,</w:t>
      </w:r>
      <w:r w:rsidRPr="00802EA9">
        <w:rPr>
          <w:rFonts w:ascii="Times New Roman" w:eastAsia="宋体" w:hAnsi="Times New Roman" w:cs="Times New Roman"/>
          <w:kern w:val="0"/>
          <w:szCs w:val="21"/>
        </w:rPr>
        <w:t xml:space="preserve"> Values are shown relative to Control</w:t>
      </w:r>
      <w:r w:rsidRPr="00802EA9">
        <w:rPr>
          <w:rFonts w:ascii="Times New Roman" w:eastAsia="宋体" w:hAnsi="Times New Roman" w:cs="Times New Roman" w:hint="eastAsia"/>
          <w:kern w:val="0"/>
          <w:szCs w:val="21"/>
        </w:rPr>
        <w:t xml:space="preserve"> (n=4)</w:t>
      </w:r>
      <w:r w:rsidRPr="00802EA9">
        <w:rPr>
          <w:rFonts w:ascii="Times New Roman" w:eastAsia="宋体" w:hAnsi="Times New Roman" w:cs="Times New Roman"/>
          <w:kern w:val="0"/>
          <w:szCs w:val="21"/>
        </w:rPr>
        <w:t>.</w:t>
      </w:r>
    </w:p>
    <w:p w14:paraId="6CFB60C7" w14:textId="131387CC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(B)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Seahorse glycolytic rate assay showing proton efflux rate (PER) traces over time across the four conditions. Rotenone/antimycin A (Rot/AA) and 2-deoxy-D-glucose (2-DG) were injected sequentially at the indicated time points to resolve mitochondrial contribution and glycolytic dependence.</w:t>
      </w:r>
    </w:p>
    <w:p w14:paraId="02BCA829" w14:textId="683E0B7F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(C,D)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Quantification of basal glycolysis or compensatory glycolysis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 (</w:t>
      </w:r>
      <w:r w:rsidRPr="00802EA9">
        <w:rPr>
          <w:rFonts w:ascii="Times New Roman" w:hAnsi="Times New Roman" w:cs="Times New Roman"/>
          <w:szCs w:val="21"/>
        </w:rPr>
        <w:t>n=3</w:t>
      </w:r>
      <w:r w:rsidRPr="00802EA9">
        <w:rPr>
          <w:rFonts w:ascii="Times New Roman" w:hAnsi="Times New Roman" w:cs="Times New Roman" w:hint="eastAsia"/>
          <w:szCs w:val="21"/>
        </w:rPr>
        <w:t>)</w:t>
      </w:r>
      <w:r w:rsidRPr="00802EA9">
        <w:rPr>
          <w:rFonts w:ascii="Times New Roman" w:hAnsi="Times New Roman" w:cs="Times New Roman"/>
          <w:bCs/>
          <w:color w:val="000000" w:themeColor="text1"/>
          <w:kern w:val="0"/>
          <w:szCs w:val="21"/>
          <w:lang w:bidi="ar"/>
        </w:rPr>
        <w:t>.</w:t>
      </w:r>
    </w:p>
    <w:p w14:paraId="1A8BD5BC" w14:textId="0C47C7E1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(E)</w:t>
      </w:r>
      <w:r w:rsidR="00905364" w:rsidRPr="00802EA9">
        <w:rPr>
          <w:rFonts w:ascii="Times New Roman" w:eastAsia="宋体" w:hAnsi="Times New Roman" w:cs="Times New Roman" w:hint="eastAsia"/>
          <w:b/>
          <w:szCs w:val="21"/>
          <w:lang w:eastAsia="zh-Hans"/>
        </w:rPr>
        <w:t xml:space="preserve">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Seahorse ATP rate assay showing mitochondrial ATP production rate (MitoATP) and glycolytic ATP production rate (GlycoATP) across the four conditions (stacked representation).</w:t>
      </w:r>
    </w:p>
    <w:p w14:paraId="0193408E" w14:textId="1095117C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(F)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ATP Rate Index calculated as the ratio of mitochondrial ATP production rate to glycolytic ATP production rate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 (</w:t>
      </w:r>
      <w:r w:rsidRPr="00802EA9">
        <w:rPr>
          <w:rFonts w:ascii="Times New Roman" w:hAnsi="Times New Roman" w:cs="Times New Roman"/>
          <w:szCs w:val="21"/>
        </w:rPr>
        <w:t>n=3</w:t>
      </w:r>
      <w:r w:rsidRPr="00802EA9">
        <w:rPr>
          <w:rFonts w:ascii="Times New Roman" w:hAnsi="Times New Roman" w:cs="Times New Roman" w:hint="eastAsia"/>
          <w:szCs w:val="21"/>
        </w:rPr>
        <w:t>)</w:t>
      </w:r>
      <w:r w:rsidRPr="00802EA9">
        <w:rPr>
          <w:rFonts w:ascii="Times New Roman" w:hAnsi="Times New Roman" w:cs="Times New Roman"/>
          <w:bCs/>
          <w:color w:val="000000" w:themeColor="text1"/>
          <w:kern w:val="0"/>
          <w:szCs w:val="21"/>
          <w:lang w:bidi="ar"/>
        </w:rPr>
        <w:t>.</w:t>
      </w:r>
    </w:p>
    <w:p w14:paraId="11543C7D" w14:textId="4B7EC275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(G)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Energetic map depicting the balance between mitochondrial and glycolytic ATP production across conditions, plotted as Mito ATP production rate versus Glyco ATP production rate.</w:t>
      </w:r>
    </w:p>
    <w:p w14:paraId="339DD0F6" w14:textId="62B55186" w:rsidR="007E3C24" w:rsidRPr="00802EA9" w:rsidRDefault="00000000">
      <w:pPr>
        <w:spacing w:line="360" w:lineRule="auto"/>
        <w:rPr>
          <w:rFonts w:ascii="Times New Roman" w:hAnsi="Times New Roman" w:cs="Times New Roman"/>
          <w:szCs w:val="21"/>
        </w:rPr>
      </w:pPr>
      <w:r w:rsidRPr="00802EA9">
        <w:rPr>
          <w:rFonts w:ascii="Times New Roman" w:hAnsi="Times New Roman" w:cs="Times New Roman"/>
          <w:szCs w:val="21"/>
        </w:rPr>
        <w:lastRenderedPageBreak/>
        <w:t>Data are presented as mean ± SEM. ns indicates no significance, *, P &lt; 0.05; **, P &lt; 0.01; ***, P &lt; 0.001; ****, P &lt; 0.0001 by one-way ANOVA with Tukey’s test (</w:t>
      </w:r>
      <w:r w:rsidR="003A1D6D" w:rsidRPr="00802EA9">
        <w:rPr>
          <w:rFonts w:ascii="Times New Roman" w:hAnsi="Times New Roman" w:cs="Times New Roman" w:hint="eastAsia"/>
          <w:szCs w:val="21"/>
        </w:rPr>
        <w:t>A</w:t>
      </w:r>
      <w:r w:rsidRPr="00802EA9">
        <w:rPr>
          <w:rFonts w:ascii="Times New Roman" w:hAnsi="Times New Roman" w:cs="Times New Roman"/>
          <w:szCs w:val="21"/>
        </w:rPr>
        <w:t xml:space="preserve">, </w:t>
      </w:r>
      <w:r w:rsidR="003A1D6D" w:rsidRPr="00802EA9">
        <w:rPr>
          <w:rFonts w:ascii="Times New Roman" w:hAnsi="Times New Roman" w:cs="Times New Roman" w:hint="eastAsia"/>
          <w:szCs w:val="21"/>
        </w:rPr>
        <w:t>C</w:t>
      </w:r>
      <w:r w:rsidRPr="00802EA9">
        <w:rPr>
          <w:rFonts w:ascii="Times New Roman" w:hAnsi="Times New Roman" w:cs="Times New Roman"/>
          <w:szCs w:val="21"/>
        </w:rPr>
        <w:t xml:space="preserve">, </w:t>
      </w:r>
      <w:r w:rsidR="003A1D6D" w:rsidRPr="00802EA9">
        <w:rPr>
          <w:rFonts w:ascii="Times New Roman" w:hAnsi="Times New Roman" w:cs="Times New Roman" w:hint="eastAsia"/>
          <w:szCs w:val="21"/>
        </w:rPr>
        <w:t>D</w:t>
      </w:r>
      <w:r w:rsidRPr="00802EA9">
        <w:rPr>
          <w:rFonts w:ascii="Times New Roman" w:hAnsi="Times New Roman" w:cs="Times New Roman"/>
          <w:szCs w:val="21"/>
        </w:rPr>
        <w:t xml:space="preserve"> and </w:t>
      </w:r>
      <w:r w:rsidR="003A1D6D" w:rsidRPr="00802EA9">
        <w:rPr>
          <w:rFonts w:ascii="Times New Roman" w:hAnsi="Times New Roman" w:cs="Times New Roman" w:hint="eastAsia"/>
          <w:szCs w:val="21"/>
        </w:rPr>
        <w:t>F</w:t>
      </w:r>
      <w:r w:rsidRPr="00802EA9">
        <w:rPr>
          <w:rFonts w:ascii="Times New Roman" w:hAnsi="Times New Roman" w:cs="Times New Roman"/>
          <w:szCs w:val="21"/>
        </w:rPr>
        <w:t>).</w:t>
      </w:r>
    </w:p>
    <w:p w14:paraId="486646CB" w14:textId="77777777" w:rsidR="007E3C24" w:rsidRPr="00802EA9" w:rsidRDefault="007E3C24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</w:p>
    <w:p w14:paraId="588C474D" w14:textId="5D725FAA" w:rsidR="002C74D6" w:rsidRPr="00802EA9" w:rsidRDefault="004418B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noProof/>
        </w:rPr>
        <w:drawing>
          <wp:inline distT="0" distB="0" distL="0" distR="0" wp14:anchorId="747E26F4" wp14:editId="55DC1785">
            <wp:extent cx="5274310" cy="7312025"/>
            <wp:effectExtent l="0" t="0" r="2540" b="3175"/>
            <wp:docPr id="47401717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1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6BEA4" w14:textId="21DF5BEF" w:rsidR="007E3C24" w:rsidRPr="00802EA9" w:rsidRDefault="0000000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rFonts w:ascii="Times New Roman" w:hAnsi="Times New Roman" w:cs="Times New Roman"/>
          <w:b/>
          <w:bCs/>
          <w:szCs w:val="21"/>
        </w:rPr>
        <w:t>Fig</w:t>
      </w:r>
      <w:r w:rsidR="00905364" w:rsidRPr="00802EA9">
        <w:rPr>
          <w:rFonts w:ascii="Times New Roman" w:hAnsi="Times New Roman" w:cs="Times New Roman" w:hint="eastAsia"/>
          <w:b/>
          <w:bCs/>
          <w:szCs w:val="21"/>
        </w:rPr>
        <w:t>.</w:t>
      </w:r>
      <w:r w:rsidRPr="00802EA9">
        <w:rPr>
          <w:rFonts w:ascii="Times New Roman" w:hAnsi="Times New Roman" w:cs="Times New Roman"/>
          <w:b/>
          <w:bCs/>
          <w:szCs w:val="21"/>
        </w:rPr>
        <w:t xml:space="preserve"> 6 Z231 reduces chronic phagocyte activation, oxidative stress, and inflammatory cytokine signatures after SCI.</w:t>
      </w:r>
    </w:p>
    <w:p w14:paraId="4F48EBBB" w14:textId="6ACB56B8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802EA9">
        <w:rPr>
          <w:rFonts w:ascii="Times New Roman" w:eastAsia="宋体" w:hAnsi="Times New Roman" w:cs="Times New Roman" w:hint="eastAsia"/>
          <w:kern w:val="0"/>
          <w:szCs w:val="21"/>
        </w:rPr>
        <w:lastRenderedPageBreak/>
        <w:t>(A)</w:t>
      </w:r>
      <w:r w:rsidRPr="00802EA9">
        <w:rPr>
          <w:rFonts w:ascii="Times New Roman" w:eastAsia="宋体" w:hAnsi="Times New Roman" w:cs="Times New Roman"/>
          <w:kern w:val="0"/>
          <w:szCs w:val="21"/>
        </w:rPr>
        <w:t xml:space="preserve"> Representative immunofluorescence images showing activated microglia/macrophages (CD68, magenta) co-stained with lipid droplets (BODIPY, green) and DAPI (blue) at 7, 14, 30, and 42 dpi</w:t>
      </w:r>
      <w:r w:rsidRPr="00802EA9">
        <w:rPr>
          <w:rFonts w:ascii="Times New Roman" w:eastAsia="宋体" w:hAnsi="Times New Roman" w:cs="Times New Roman" w:hint="eastAsia"/>
          <w:kern w:val="0"/>
          <w:szCs w:val="21"/>
        </w:rPr>
        <w:t xml:space="preserve">, </w:t>
      </w:r>
      <w:r w:rsidRPr="00802EA9">
        <w:rPr>
          <w:rFonts w:ascii="Times New Roman" w:eastAsia="宋体" w:hAnsi="Times New Roman" w:cs="Times New Roman"/>
          <w:kern w:val="0"/>
          <w:szCs w:val="21"/>
        </w:rPr>
        <w:t>Scale bars=500μm (overview) and 50μm (magnified images).</w:t>
      </w:r>
    </w:p>
    <w:p w14:paraId="50BC6934" w14:textId="3E561279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802EA9">
        <w:rPr>
          <w:rFonts w:ascii="Times New Roman" w:eastAsia="宋体" w:hAnsi="Times New Roman" w:cs="Times New Roman" w:hint="eastAsia"/>
          <w:kern w:val="0"/>
          <w:szCs w:val="21"/>
        </w:rPr>
        <w:t>(B)</w:t>
      </w:r>
      <w:r w:rsidRPr="00802EA9">
        <w:rPr>
          <w:rFonts w:ascii="Times New Roman" w:eastAsia="宋体" w:hAnsi="Times New Roman" w:cs="Times New Roman"/>
          <w:kern w:val="0"/>
          <w:szCs w:val="21"/>
        </w:rPr>
        <w:t xml:space="preserve"> Representative immunofluorescence images showing activated microglia/macrophages (CD68, magenta) co-stained with degraded myelin (dMBP, green) and DAPI (blue) at indicated time points across groups, Scale bars=500μm (overview) and 50μm (magnified images).</w:t>
      </w:r>
    </w:p>
    <w:p w14:paraId="575AAF34" w14:textId="425A8BC6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802EA9">
        <w:rPr>
          <w:rFonts w:ascii="Times New Roman" w:eastAsia="宋体" w:hAnsi="Times New Roman" w:cs="Times New Roman" w:hint="eastAsia"/>
          <w:kern w:val="0"/>
          <w:szCs w:val="21"/>
        </w:rPr>
        <w:t>(C)</w:t>
      </w:r>
      <w:r w:rsidRPr="00802EA9">
        <w:rPr>
          <w:rFonts w:ascii="Times New Roman" w:eastAsia="宋体" w:hAnsi="Times New Roman" w:cs="Times New Roman"/>
          <w:kern w:val="0"/>
          <w:szCs w:val="21"/>
        </w:rPr>
        <w:t xml:space="preserve"> Representative ROS staining images from prepared spinal cord tissues in each group at 7, 14, 30, and 42 dpi, Scale bars=500μm.</w:t>
      </w:r>
    </w:p>
    <w:p w14:paraId="19735D5B" w14:textId="4875E33B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802EA9">
        <w:rPr>
          <w:rFonts w:ascii="Times New Roman" w:eastAsia="宋体" w:hAnsi="Times New Roman" w:cs="Times New Roman" w:hint="eastAsia"/>
          <w:kern w:val="0"/>
          <w:szCs w:val="21"/>
        </w:rPr>
        <w:t>(D)</w:t>
      </w:r>
      <w:r w:rsidRPr="00802EA9">
        <w:rPr>
          <w:rFonts w:ascii="Times New Roman" w:eastAsia="宋体" w:hAnsi="Times New Roman" w:cs="Times New Roman"/>
          <w:kern w:val="0"/>
          <w:szCs w:val="21"/>
        </w:rPr>
        <w:t xml:space="preserve"> Quantification of ROS integrated fluorescence intensity</w:t>
      </w:r>
      <w:r w:rsidRPr="00802EA9">
        <w:rPr>
          <w:rFonts w:ascii="Times New Roman" w:eastAsia="宋体" w:hAnsi="Times New Roman" w:cs="Times New Roman" w:hint="eastAsia"/>
          <w:kern w:val="0"/>
          <w:szCs w:val="21"/>
        </w:rPr>
        <w:t xml:space="preserve"> (</w:t>
      </w:r>
      <w:r w:rsidRPr="00802EA9">
        <w:rPr>
          <w:rFonts w:ascii="Times New Roman" w:eastAsia="宋体" w:hAnsi="Times New Roman" w:cs="Times New Roman"/>
          <w:kern w:val="0"/>
          <w:szCs w:val="21"/>
        </w:rPr>
        <w:t>n=6</w:t>
      </w:r>
      <w:r w:rsidRPr="00802EA9">
        <w:rPr>
          <w:rFonts w:ascii="Times New Roman" w:eastAsia="宋体" w:hAnsi="Times New Roman" w:cs="Times New Roman" w:hint="eastAsia"/>
          <w:kern w:val="0"/>
          <w:szCs w:val="21"/>
        </w:rPr>
        <w:t>)</w:t>
      </w:r>
      <w:r w:rsidRPr="00802EA9">
        <w:rPr>
          <w:rFonts w:ascii="Times New Roman" w:eastAsia="宋体" w:hAnsi="Times New Roman" w:cs="Times New Roman"/>
          <w:kern w:val="0"/>
          <w:szCs w:val="21"/>
        </w:rPr>
        <w:t>.</w:t>
      </w:r>
    </w:p>
    <w:p w14:paraId="4DDCBED5" w14:textId="343E66E4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802EA9">
        <w:rPr>
          <w:rFonts w:ascii="Times New Roman" w:eastAsia="宋体" w:hAnsi="Times New Roman" w:cs="Times New Roman" w:hint="eastAsia"/>
          <w:kern w:val="0"/>
          <w:szCs w:val="21"/>
        </w:rPr>
        <w:t>(E)</w:t>
      </w:r>
      <w:r w:rsidRPr="00802EA9">
        <w:rPr>
          <w:rFonts w:ascii="Times New Roman" w:eastAsia="宋体" w:hAnsi="Times New Roman" w:cs="Times New Roman"/>
          <w:kern w:val="0"/>
          <w:szCs w:val="21"/>
        </w:rPr>
        <w:t xml:space="preserve"> Heatmaps showing relative expression changes of IL-1β, IL-6, and TNF-α comparing SCI + Z231 versus SCI (top) and SCI + Z231 versus SCI + DMSO (bottom) across time points.</w:t>
      </w:r>
    </w:p>
    <w:p w14:paraId="1C98E1A9" w14:textId="783635EF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802EA9">
        <w:rPr>
          <w:rFonts w:ascii="Times New Roman" w:eastAsia="宋体" w:hAnsi="Times New Roman" w:cs="Times New Roman" w:hint="eastAsia"/>
          <w:kern w:val="0"/>
          <w:szCs w:val="21"/>
        </w:rPr>
        <w:t>(F)</w:t>
      </w:r>
      <w:r w:rsidRPr="00802EA9">
        <w:rPr>
          <w:rFonts w:ascii="Times New Roman" w:eastAsia="宋体" w:hAnsi="Times New Roman" w:cs="Times New Roman"/>
          <w:kern w:val="0"/>
          <w:szCs w:val="21"/>
        </w:rPr>
        <w:t xml:space="preserve"> Quantification of additional CatWalk gait parameters at 30 and 42 dpi</w:t>
      </w:r>
      <w:r w:rsidRPr="00802EA9">
        <w:rPr>
          <w:rFonts w:ascii="Times New Roman" w:eastAsia="宋体" w:hAnsi="Times New Roman" w:cs="Times New Roman" w:hint="eastAsia"/>
          <w:kern w:val="0"/>
          <w:szCs w:val="21"/>
        </w:rPr>
        <w:t xml:space="preserve"> (</w:t>
      </w:r>
      <w:r w:rsidRPr="00802EA9">
        <w:rPr>
          <w:rFonts w:ascii="Times New Roman" w:eastAsia="宋体" w:hAnsi="Times New Roman" w:cs="Times New Roman"/>
          <w:kern w:val="0"/>
          <w:szCs w:val="21"/>
        </w:rPr>
        <w:t>n=6</w:t>
      </w:r>
      <w:r w:rsidRPr="00802EA9">
        <w:rPr>
          <w:rFonts w:ascii="Times New Roman" w:eastAsia="宋体" w:hAnsi="Times New Roman" w:cs="Times New Roman" w:hint="eastAsia"/>
          <w:kern w:val="0"/>
          <w:szCs w:val="21"/>
        </w:rPr>
        <w:t>)</w:t>
      </w:r>
      <w:r w:rsidRPr="00802EA9">
        <w:rPr>
          <w:rFonts w:ascii="Times New Roman" w:eastAsia="宋体" w:hAnsi="Times New Roman" w:cs="Times New Roman"/>
          <w:kern w:val="0"/>
          <w:szCs w:val="21"/>
        </w:rPr>
        <w:t>.</w:t>
      </w:r>
    </w:p>
    <w:p w14:paraId="7BBC501F" w14:textId="1AF5706B" w:rsidR="007E3C24" w:rsidRPr="00802EA9" w:rsidRDefault="00000000">
      <w:pPr>
        <w:spacing w:line="360" w:lineRule="auto"/>
        <w:rPr>
          <w:rFonts w:ascii="Times New Roman" w:eastAsia="宋体" w:hAnsi="Times New Roman" w:cs="Times New Roman"/>
          <w:kern w:val="0"/>
          <w:szCs w:val="21"/>
        </w:rPr>
      </w:pPr>
      <w:r w:rsidRPr="00802EA9">
        <w:rPr>
          <w:rFonts w:ascii="Times New Roman" w:eastAsia="宋体" w:hAnsi="Times New Roman" w:cs="Times New Roman"/>
          <w:kern w:val="0"/>
          <w:szCs w:val="21"/>
        </w:rPr>
        <w:t>Data are presented as mean ± SEM. ns indicates no significance, *, P &lt; 0.05; **, P &lt; 0.01; ****, P &lt; 0.0001 by two-way ANOVA with Tukey’s test for multiple comparisons (</w:t>
      </w:r>
      <w:r w:rsidRPr="00802EA9">
        <w:rPr>
          <w:rFonts w:ascii="Times New Roman" w:eastAsia="宋体" w:hAnsi="Times New Roman" w:cs="Times New Roman" w:hint="eastAsia"/>
          <w:kern w:val="0"/>
          <w:szCs w:val="21"/>
        </w:rPr>
        <w:t>d</w:t>
      </w:r>
      <w:r w:rsidRPr="00802EA9">
        <w:rPr>
          <w:rFonts w:ascii="Times New Roman" w:eastAsia="宋体" w:hAnsi="Times New Roman" w:cs="Times New Roman"/>
          <w:kern w:val="0"/>
          <w:szCs w:val="21"/>
        </w:rPr>
        <w:t>), one-way ANOVA with Tukey’s test</w:t>
      </w:r>
      <w:r w:rsidR="003A1D6D" w:rsidRPr="00802EA9">
        <w:rPr>
          <w:rFonts w:ascii="Times New Roman" w:eastAsia="宋体" w:hAnsi="Times New Roman" w:cs="Times New Roman" w:hint="eastAsia"/>
          <w:kern w:val="0"/>
          <w:szCs w:val="21"/>
        </w:rPr>
        <w:t>(F)</w:t>
      </w:r>
      <w:r w:rsidRPr="00802EA9">
        <w:rPr>
          <w:rFonts w:ascii="Times New Roman" w:eastAsia="宋体" w:hAnsi="Times New Roman" w:cs="Times New Roman"/>
          <w:kern w:val="0"/>
          <w:szCs w:val="21"/>
        </w:rPr>
        <w:t>.</w:t>
      </w:r>
    </w:p>
    <w:p w14:paraId="025ABE76" w14:textId="5314F932" w:rsidR="007E3C24" w:rsidRPr="00802EA9" w:rsidRDefault="007E3C24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</w:p>
    <w:p w14:paraId="5B13430A" w14:textId="77777777" w:rsidR="0076009D" w:rsidRPr="00802EA9" w:rsidRDefault="0076009D">
      <w:pPr>
        <w:spacing w:line="360" w:lineRule="auto"/>
        <w:rPr>
          <w:noProof/>
        </w:rPr>
      </w:pPr>
    </w:p>
    <w:p w14:paraId="2A29C474" w14:textId="0E9ECB73" w:rsidR="002C74D6" w:rsidRPr="00802EA9" w:rsidRDefault="004418BD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noProof/>
        </w:rPr>
        <w:drawing>
          <wp:inline distT="0" distB="0" distL="0" distR="0" wp14:anchorId="4590B09C" wp14:editId="5F52253A">
            <wp:extent cx="5274310" cy="1216025"/>
            <wp:effectExtent l="0" t="0" r="2540" b="3175"/>
            <wp:docPr id="20640340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95875" w14:textId="6BECC065" w:rsidR="007E3C24" w:rsidRPr="00802EA9" w:rsidRDefault="00000000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802EA9">
        <w:rPr>
          <w:rFonts w:ascii="Times New Roman" w:hAnsi="Times New Roman" w:cs="Times New Roman"/>
          <w:b/>
          <w:bCs/>
          <w:szCs w:val="21"/>
        </w:rPr>
        <w:t>Fig</w:t>
      </w:r>
      <w:r w:rsidR="00905364" w:rsidRPr="00802EA9">
        <w:rPr>
          <w:rFonts w:ascii="Times New Roman" w:hAnsi="Times New Roman" w:cs="Times New Roman" w:hint="eastAsia"/>
          <w:b/>
          <w:bCs/>
          <w:szCs w:val="21"/>
        </w:rPr>
        <w:t xml:space="preserve">. </w:t>
      </w:r>
      <w:r w:rsidRPr="00802EA9">
        <w:rPr>
          <w:rFonts w:ascii="Times New Roman" w:hAnsi="Times New Roman" w:cs="Times New Roman"/>
          <w:b/>
          <w:bCs/>
          <w:szCs w:val="21"/>
        </w:rPr>
        <w:t>7 Representative snapshots of the ABCA1–Z231 complex during MD simulation.</w:t>
      </w:r>
    </w:p>
    <w:p w14:paraId="0ED36510" w14:textId="449AA594" w:rsidR="007E3C24" w:rsidRPr="00802EA9" w:rsidRDefault="003A1D6D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(A)</w:t>
      </w:r>
      <w:r w:rsidRPr="00802EA9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Representative structural snapshots of the ABCA1–Z231 complex at </w:t>
      </w:r>
      <w:r w:rsidRPr="00802EA9">
        <w:rPr>
          <w:rFonts w:ascii="Times New Roman" w:eastAsia="宋体" w:hAnsi="Times New Roman" w:cs="Times New Roman"/>
          <w:szCs w:val="21"/>
          <w:lang w:eastAsia="zh-Hans"/>
        </w:rPr>
        <w:t>20 ns, 40 ns, 60 ns, 80 ns, and 100 ns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show persistent retention of Z231 within the binding pocket and an overall stable complex architecture throughout the trajectory.</w:t>
      </w:r>
    </w:p>
    <w:p w14:paraId="5ED8D839" w14:textId="295215C1" w:rsidR="007E3C24" w:rsidRPr="00802EA9" w:rsidRDefault="007E3C24">
      <w:pPr>
        <w:spacing w:line="360" w:lineRule="auto"/>
        <w:ind w:firstLineChars="200" w:firstLine="420"/>
        <w:rPr>
          <w:rFonts w:ascii="Times New Roman Regular" w:eastAsia="宋体" w:hAnsi="Times New Roman Regular" w:cs="Times New Roman Regular" w:hint="eastAsia"/>
          <w:bCs/>
        </w:rPr>
      </w:pPr>
    </w:p>
    <w:p w14:paraId="4E310EF4" w14:textId="5BB29771" w:rsidR="007E3C24" w:rsidRPr="00802EA9" w:rsidRDefault="00000000">
      <w:pPr>
        <w:spacing w:line="360" w:lineRule="auto"/>
        <w:rPr>
          <w:rFonts w:ascii="Times New Roman" w:eastAsia="宋体" w:hAnsi="Times New Roman" w:cs="Times New Roman"/>
          <w:b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/>
          <w:szCs w:val="21"/>
          <w:lang w:eastAsia="zh-Hans"/>
        </w:rPr>
        <w:t xml:space="preserve">Table 1. </w:t>
      </w:r>
      <w:r w:rsidRPr="00802EA9">
        <w:rPr>
          <w:rFonts w:ascii="Times New Roman" w:eastAsia="宋体" w:hAnsi="Times New Roman" w:cs="Times New Roman"/>
          <w:b/>
          <w:szCs w:val="21"/>
          <w:lang w:eastAsia="zh-Hans"/>
        </w:rPr>
        <w:t xml:space="preserve">Top </w:t>
      </w:r>
      <w:r w:rsidR="00CF7010" w:rsidRPr="00802EA9">
        <w:rPr>
          <w:rFonts w:ascii="Times New Roman" w:eastAsia="宋体" w:hAnsi="Times New Roman" w:cs="Times New Roman" w:hint="eastAsia"/>
          <w:b/>
          <w:szCs w:val="21"/>
          <w:lang w:eastAsia="zh-Hans"/>
        </w:rPr>
        <w:t>1</w:t>
      </w:r>
      <w:r w:rsidRPr="00802EA9">
        <w:rPr>
          <w:rFonts w:ascii="Times New Roman" w:eastAsia="宋体" w:hAnsi="Times New Roman" w:cs="Times New Roman"/>
          <w:b/>
          <w:szCs w:val="21"/>
          <w:lang w:eastAsia="zh-Hans"/>
        </w:rPr>
        <w:t>0 candidate compounds identified from virtual screening against human ABCA</w:t>
      </w:r>
      <w:r w:rsidRPr="00802EA9">
        <w:rPr>
          <w:rFonts w:ascii="Times New Roman" w:eastAsia="宋体" w:hAnsi="Times New Roman" w:cs="Times New Roman" w:hint="eastAsia"/>
          <w:b/>
          <w:szCs w:val="21"/>
          <w:lang w:eastAsia="zh-Hans"/>
        </w:rPr>
        <w:t>1.</w:t>
      </w:r>
    </w:p>
    <w:p w14:paraId="4A05DA71" w14:textId="77777777" w:rsidR="007E3C24" w:rsidRPr="00802EA9" w:rsidRDefault="007E3C24">
      <w:pPr>
        <w:spacing w:line="360" w:lineRule="auto"/>
        <w:rPr>
          <w:rFonts w:ascii="Times New Roman" w:eastAsia="宋体" w:hAnsi="Times New Roman" w:cs="Times New Roman"/>
          <w:b/>
          <w:szCs w:val="21"/>
          <w:lang w:eastAsia="zh-Hans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851"/>
        <w:gridCol w:w="5103"/>
      </w:tblGrid>
      <w:tr w:rsidR="007E3C24" w:rsidRPr="00802EA9" w14:paraId="5CE8BD93" w14:textId="77777777">
        <w:trPr>
          <w:trHeight w:val="402"/>
        </w:trPr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83C3B28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lastRenderedPageBreak/>
              <w:t>Catalog ID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1BD0F18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Docking</w:t>
            </w:r>
            <w:r w:rsidRPr="00802EA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score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CF8FCEF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MW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58E3DE2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SMILES</w:t>
            </w:r>
          </w:p>
        </w:tc>
      </w:tr>
      <w:tr w:rsidR="007E3C24" w:rsidRPr="00802EA9" w14:paraId="6A33DB4C" w14:textId="77777777">
        <w:trPr>
          <w:trHeight w:val="402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7BD8C43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Z3103628718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465089A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-7.379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307D44A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309.35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6AB06E3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C1C[C@@H]([NH3+])C[C@@H]1C(=O)N2CCN(CC2)c3c(F)ccc(F)c3</w:t>
            </w:r>
          </w:p>
        </w:tc>
      </w:tr>
      <w:tr w:rsidR="007E3C24" w:rsidRPr="00802EA9" w14:paraId="45FFC187" w14:textId="77777777">
        <w:trPr>
          <w:trHeight w:val="40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70F296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Z2242912732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238483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-7.053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9F890E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301.21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7C8B7A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C1[NH2+]CC[C@H]1N(C)C(=O)CCc2c(Cl)c(Cl)ccc2</w:t>
            </w:r>
          </w:p>
        </w:tc>
      </w:tr>
      <w:tr w:rsidR="007E3C24" w:rsidRPr="00802EA9" w14:paraId="0EA4F6F1" w14:textId="77777777">
        <w:trPr>
          <w:trHeight w:val="40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B03BC5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Z1457340462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EC2B0A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-7.020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3BDF85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278.78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6FA8A1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[NH3+]C[C@@H](C)N(C)C(=O)c(c1)ccc(c12)cccc2</w:t>
            </w:r>
          </w:p>
        </w:tc>
      </w:tr>
      <w:tr w:rsidR="007E3C24" w:rsidRPr="00802EA9" w14:paraId="7A499D6B" w14:textId="77777777">
        <w:trPr>
          <w:trHeight w:val="40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A235D8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Z2378718338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24486B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-6.990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FB2130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281.33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506543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CN(C)c(cc1)cc(F)c1C(=O)NC[C@H]2C[NH2+]CCO2</w:t>
            </w:r>
          </w:p>
        </w:tc>
      </w:tr>
      <w:tr w:rsidR="007E3C24" w:rsidRPr="00802EA9" w14:paraId="6179692D" w14:textId="77777777">
        <w:trPr>
          <w:trHeight w:val="40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29093B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Z2282736039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6D5A4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-6.916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DEBFCE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291.30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14C294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FC(F)c1ccc(cc1)CC(=O)N[C@@H]2CCn(c23)cc[nH+]3</w:t>
            </w:r>
          </w:p>
        </w:tc>
      </w:tr>
      <w:tr w:rsidR="007E3C24" w:rsidRPr="00802EA9" w14:paraId="202E5253" w14:textId="77777777">
        <w:trPr>
          <w:trHeight w:val="40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C4D325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Z1612165681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0B987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-6.887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A38F3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322.83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43C6A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c1cccc(Cl)c1C(=O)N(CC2)CCC2[NH2+]C3(CO)CCC3</w:t>
            </w:r>
          </w:p>
        </w:tc>
      </w:tr>
      <w:tr w:rsidR="007E3C24" w:rsidRPr="00802EA9" w14:paraId="6A3F837D" w14:textId="77777777">
        <w:trPr>
          <w:trHeight w:val="40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190D40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Z2312316994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7B0372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-6.883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3FD9BF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307.43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C798D9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c1ccccc1[C@H]2C[C@@H](C2)[NH2+]C3CCN(CC3)c4cc[nH+]cc4</w:t>
            </w:r>
          </w:p>
        </w:tc>
      </w:tr>
      <w:tr w:rsidR="007E3C24" w:rsidRPr="00802EA9" w14:paraId="0AE8C54A" w14:textId="77777777">
        <w:trPr>
          <w:trHeight w:val="40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43744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Z2450035736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95590E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-6.876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8626A9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292.35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8470D1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C1[NH2+]CC[C@H]1CCC(=O)N[C@@H]2CCOc(c23)c(F)ccc3</w:t>
            </w:r>
          </w:p>
        </w:tc>
      </w:tr>
      <w:tr w:rsidR="007E3C24" w:rsidRPr="00802EA9" w14:paraId="5B6C57A7" w14:textId="77777777">
        <w:trPr>
          <w:trHeight w:val="40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E566AD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Z2418790461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88A999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-6.870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DF3304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272.35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F5A6F4A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C[NH2+][C@@H]1CCCN(C1)C(=O)Cc(n2)cn(c23)cccc3</w:t>
            </w:r>
          </w:p>
        </w:tc>
      </w:tr>
      <w:tr w:rsidR="007E3C24" w:rsidRPr="00802EA9" w14:paraId="45C6C67B" w14:textId="77777777">
        <w:trPr>
          <w:trHeight w:val="402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66B7F7A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Z2874297951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EF96C27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-6.804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1B6CFE2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328.45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0862859" w14:textId="77777777" w:rsidR="007E3C24" w:rsidRPr="00802EA9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802EA9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C1C[NH2+]CCC12CCN(C2)C(=O)NC[C@@H](C3)[NH2+]Cc(c34)cccc4</w:t>
            </w:r>
          </w:p>
        </w:tc>
      </w:tr>
    </w:tbl>
    <w:p w14:paraId="5ABD6FC6" w14:textId="77777777" w:rsidR="007E3C24" w:rsidRPr="00802EA9" w:rsidRDefault="007E3C24">
      <w:pPr>
        <w:spacing w:line="360" w:lineRule="auto"/>
        <w:rPr>
          <w:rFonts w:ascii="Times New Roman" w:eastAsia="宋体" w:hAnsi="Times New Roman" w:cs="Times New Roman"/>
          <w:b/>
          <w:szCs w:val="21"/>
          <w:lang w:eastAsia="zh-Hans"/>
        </w:rPr>
      </w:pPr>
    </w:p>
    <w:p w14:paraId="37E94CC9" w14:textId="1C46AD03" w:rsidR="007E3C24" w:rsidRPr="00802EA9" w:rsidRDefault="00000000">
      <w:pPr>
        <w:spacing w:line="360" w:lineRule="auto"/>
        <w:rPr>
          <w:rFonts w:ascii="Times New Roman" w:eastAsia="宋体" w:hAnsi="Times New Roman" w:cs="Times New Roman"/>
          <w:b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/>
          <w:szCs w:val="21"/>
          <w:lang w:eastAsia="zh-Hans"/>
        </w:rPr>
        <w:t xml:space="preserve">Table 2. </w:t>
      </w:r>
      <w:r w:rsidRPr="00802EA9">
        <w:rPr>
          <w:rFonts w:ascii="Times New Roman" w:eastAsia="宋体" w:hAnsi="Times New Roman" w:cs="Times New Roman"/>
          <w:b/>
          <w:szCs w:val="21"/>
          <w:lang w:eastAsia="zh-Hans"/>
        </w:rPr>
        <w:t>Primer sequences used for quantitative PCR and mouse genotyping</w:t>
      </w:r>
      <w:r w:rsidRPr="00802EA9">
        <w:rPr>
          <w:rFonts w:ascii="Times New Roman" w:eastAsia="宋体" w:hAnsi="Times New Roman" w:cs="Times New Roman" w:hint="eastAsia"/>
          <w:b/>
          <w:szCs w:val="21"/>
          <w:lang w:eastAsia="zh-Hans"/>
        </w:rPr>
        <w:t>.</w:t>
      </w:r>
    </w:p>
    <w:tbl>
      <w:tblPr>
        <w:tblW w:w="9364" w:type="dxa"/>
        <w:tblInd w:w="11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3460"/>
        <w:gridCol w:w="3506"/>
      </w:tblGrid>
      <w:tr w:rsidR="007E3C24" w:rsidRPr="00802EA9" w14:paraId="69ACBFC5" w14:textId="77777777" w:rsidTr="00374425">
        <w:trPr>
          <w:trHeight w:val="278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F49485A" w14:textId="77777777" w:rsidR="007E3C24" w:rsidRPr="00802EA9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Gene</w:t>
            </w:r>
          </w:p>
        </w:tc>
        <w:tc>
          <w:tcPr>
            <w:tcW w:w="34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96987E6" w14:textId="77777777" w:rsidR="007E3C24" w:rsidRPr="00802EA9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Forward primer</w:t>
            </w:r>
          </w:p>
        </w:tc>
        <w:tc>
          <w:tcPr>
            <w:tcW w:w="332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108F6F47" w14:textId="77777777" w:rsidR="007E3C24" w:rsidRPr="00802EA9" w:rsidRDefault="0000000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Reverse primer</w:t>
            </w:r>
          </w:p>
        </w:tc>
      </w:tr>
      <w:tr w:rsidR="007E3C24" w:rsidRPr="00802EA9" w14:paraId="303E86EF" w14:textId="77777777" w:rsidTr="00374425">
        <w:trPr>
          <w:trHeight w:val="278"/>
        </w:trPr>
        <w:tc>
          <w:tcPr>
            <w:tcW w:w="258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2345E5A0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lL1β</w:t>
            </w:r>
          </w:p>
        </w:tc>
        <w:tc>
          <w:tcPr>
            <w:tcW w:w="3460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4B86E4AB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TGCCACCTTTTGACAGTGATG</w:t>
            </w:r>
          </w:p>
        </w:tc>
        <w:tc>
          <w:tcPr>
            <w:tcW w:w="3324" w:type="dxa"/>
            <w:tcBorders>
              <w:top w:val="single" w:sz="4" w:space="0" w:color="auto"/>
            </w:tcBorders>
            <w:shd w:val="clear" w:color="000000" w:fill="FFFFFF"/>
            <w:noWrap/>
            <w:vAlign w:val="bottom"/>
          </w:tcPr>
          <w:p w14:paraId="10FF6125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TGATGTGCTGCTGCGAGATT</w:t>
            </w:r>
          </w:p>
        </w:tc>
      </w:tr>
      <w:tr w:rsidR="007E3C24" w:rsidRPr="00802EA9" w14:paraId="706EB1CB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69CB4508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lL6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36242550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GGGACTGATGCTGGTGACAA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23B84D00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ACAGGTCTGTTGGGAGTGGT</w:t>
            </w:r>
          </w:p>
        </w:tc>
      </w:tr>
      <w:tr w:rsidR="007E3C24" w:rsidRPr="00802EA9" w14:paraId="73365963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61A7ACCF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TNF-α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789D68F9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TAGCCCACGTCGTAGCAAAC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49D10840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TGTCTTTGAGATCCATGCCGT</w:t>
            </w:r>
          </w:p>
        </w:tc>
      </w:tr>
      <w:tr w:rsidR="007E3C24" w:rsidRPr="00802EA9" w14:paraId="5AFB7CBB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07101884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GAPDH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0F8922A6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GGGGTCGTTGATGGCAACA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1B02F19B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AGGTCGGTGTGAACGGATTTG</w:t>
            </w:r>
          </w:p>
        </w:tc>
      </w:tr>
      <w:tr w:rsidR="007E3C24" w:rsidRPr="00802EA9" w14:paraId="58032B42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7CECFF53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lL4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2B0C1AD9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CATGGGAAAACTCCATGCTT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0A6ECEE0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TGGACTCATTCATGGTGCAG</w:t>
            </w:r>
          </w:p>
        </w:tc>
      </w:tr>
      <w:tr w:rsidR="007E3C24" w:rsidRPr="00802EA9" w14:paraId="1E832E7D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0C9F728C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lL10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5BFA2A17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GCTCTTACTGACTGGCATGAG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272DAE44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CGCAGCTCTAGGAGCATGTG</w:t>
            </w:r>
          </w:p>
        </w:tc>
      </w:tr>
      <w:tr w:rsidR="007E3C24" w:rsidRPr="00802EA9" w14:paraId="79E92D3F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299B2556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CCL3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3FF4295C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TGAAACCAGCAGCCTTTGCTC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14E39574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AGGCATTCAGTTCCAGGTCAGTG</w:t>
            </w:r>
          </w:p>
        </w:tc>
      </w:tr>
      <w:tr w:rsidR="007E3C24" w:rsidRPr="00802EA9" w14:paraId="2130C3EC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0179CD3D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CCL4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38C360AC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TCCCACTTCCTGCTGTTTCT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3A607336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GAGGAGGCCTCTCCTGAAGT</w:t>
            </w:r>
          </w:p>
        </w:tc>
      </w:tr>
      <w:tr w:rsidR="007E3C24" w:rsidRPr="00802EA9" w14:paraId="0A92B0AD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66D8FE63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CCL5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2DA40B03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AAGATCTCTGCAGCTGCCCT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09472CEA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GAGCCATATGGTGAGGCAGG</w:t>
            </w:r>
          </w:p>
        </w:tc>
      </w:tr>
      <w:tr w:rsidR="007E3C24" w:rsidRPr="00802EA9" w14:paraId="4483D513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3890A202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CXCL10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1FA3F34E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AGTGCTGCCGTCATTTTCTG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6FB9C33C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TCAACACGTGGGCAGGATA</w:t>
            </w:r>
          </w:p>
        </w:tc>
      </w:tr>
      <w:tr w:rsidR="007E3C24" w:rsidRPr="00802EA9" w14:paraId="41490B11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1092128C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CXCL1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4EDE33C4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AACCGAAGTCATAGCCACAC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3D74B4CE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CAGACGGTGCCATCAGAG</w:t>
            </w:r>
          </w:p>
        </w:tc>
      </w:tr>
      <w:tr w:rsidR="007E3C24" w:rsidRPr="00802EA9" w14:paraId="66089F38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bottom"/>
          </w:tcPr>
          <w:p w14:paraId="2A3A68EA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CXCL2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1DD79567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CATCCAGAGCTTGAGTGTGACG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728B5354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GGCTTCAGGGTCAAGGCAAACT</w:t>
            </w:r>
          </w:p>
        </w:tc>
      </w:tr>
      <w:tr w:rsidR="007E3C24" w:rsidRPr="00802EA9" w14:paraId="3B1B927A" w14:textId="77777777" w:rsidTr="00374425">
        <w:trPr>
          <w:trHeight w:val="278"/>
        </w:trPr>
        <w:tc>
          <w:tcPr>
            <w:tcW w:w="2580" w:type="dxa"/>
            <w:shd w:val="clear" w:color="000000" w:fill="FFFFFF"/>
            <w:noWrap/>
            <w:vAlign w:val="center"/>
          </w:tcPr>
          <w:p w14:paraId="73D12226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ABCA1</w:t>
            </w: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flox/flox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391800D8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TTACGTGGTACTGCATGGTCT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68E52DD1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ACACCGGCTTCTATTCAGAGG</w:t>
            </w:r>
          </w:p>
        </w:tc>
      </w:tr>
      <w:tr w:rsidR="007E3C24" w:rsidRPr="00802EA9" w14:paraId="0BB0833E" w14:textId="77777777" w:rsidTr="00374425">
        <w:trPr>
          <w:trHeight w:val="278"/>
        </w:trPr>
        <w:tc>
          <w:tcPr>
            <w:tcW w:w="2580" w:type="dxa"/>
            <w:shd w:val="clear" w:color="000000" w:fill="FFFFFF"/>
            <w:vAlign w:val="bottom"/>
          </w:tcPr>
          <w:p w14:paraId="2BCF2D36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CX2CR1</w:t>
            </w: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CreER</w:t>
            </w: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-P1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460630C1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AGGATGTTGACTTCCGAGTTG</w:t>
            </w:r>
            <w:r w:rsidRPr="00802EA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a)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76894888" w14:textId="77777777" w:rsidR="007E3C24" w:rsidRPr="00802EA9" w:rsidRDefault="007E3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E3C24" w:rsidRPr="00802EA9" w14:paraId="2783892D" w14:textId="77777777" w:rsidTr="00374425">
        <w:trPr>
          <w:trHeight w:val="278"/>
        </w:trPr>
        <w:tc>
          <w:tcPr>
            <w:tcW w:w="2580" w:type="dxa"/>
            <w:shd w:val="clear" w:color="000000" w:fill="FFFFFF"/>
            <w:vAlign w:val="bottom"/>
          </w:tcPr>
          <w:p w14:paraId="0DA7A27D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CX2CR1</w:t>
            </w: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CreER</w:t>
            </w: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-P2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73115B64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AAGACTCACGTGGACCTGCT</w:t>
            </w:r>
            <w:r w:rsidRPr="00802EA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:vertAlign w:val="superscript"/>
              </w:rPr>
              <w:t>b)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7BEBFE31" w14:textId="77777777" w:rsidR="007E3C24" w:rsidRPr="00802EA9" w:rsidRDefault="007E3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E3C24" w:rsidRPr="00802EA9" w14:paraId="009D2424" w14:textId="77777777" w:rsidTr="00374425">
        <w:trPr>
          <w:trHeight w:val="278"/>
        </w:trPr>
        <w:tc>
          <w:tcPr>
            <w:tcW w:w="2580" w:type="dxa"/>
            <w:shd w:val="clear" w:color="000000" w:fill="FFFFFF"/>
            <w:vAlign w:val="bottom"/>
          </w:tcPr>
          <w:p w14:paraId="7C32420F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CX2CR1</w:t>
            </w: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CreER</w:t>
            </w: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-P3</w:t>
            </w:r>
          </w:p>
        </w:tc>
        <w:tc>
          <w:tcPr>
            <w:tcW w:w="3460" w:type="dxa"/>
            <w:shd w:val="clear" w:color="000000" w:fill="FFFFFF"/>
            <w:noWrap/>
            <w:vAlign w:val="bottom"/>
          </w:tcPr>
          <w:p w14:paraId="2F1D3AED" w14:textId="77777777" w:rsidR="007E3C24" w:rsidRPr="00802EA9" w:rsidRDefault="0000000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02E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CGGTTATTCAACTTGCACCA</w:t>
            </w:r>
            <w:r w:rsidRPr="00802EA9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  <w:vertAlign w:val="superscript"/>
              </w:rPr>
              <w:t>c)</w:t>
            </w:r>
          </w:p>
        </w:tc>
        <w:tc>
          <w:tcPr>
            <w:tcW w:w="3324" w:type="dxa"/>
            <w:shd w:val="clear" w:color="000000" w:fill="FFFFFF"/>
            <w:noWrap/>
            <w:vAlign w:val="bottom"/>
          </w:tcPr>
          <w:p w14:paraId="0F6A6B25" w14:textId="77777777" w:rsidR="007E3C24" w:rsidRPr="00802EA9" w:rsidRDefault="007E3C2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231D202" w14:textId="77777777" w:rsidR="007E3C24" w:rsidRPr="00802EA9" w:rsidRDefault="00000000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 w:hint="eastAsia"/>
          <w:bCs/>
          <w:szCs w:val="21"/>
          <w:vertAlign w:val="superscript"/>
          <w:lang w:eastAsia="zh-Hans"/>
        </w:rPr>
        <w:t>a)</w:t>
      </w:r>
      <w:r w:rsidRPr="00802EA9">
        <w:rPr>
          <w:bCs/>
          <w:vertAlign w:val="superscript"/>
        </w:rPr>
        <w:t xml:space="preserve">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Primer Type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: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Wild type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;</w:t>
      </w:r>
      <w:r w:rsidRPr="00802EA9">
        <w:rPr>
          <w:rFonts w:ascii="Times New Roman" w:eastAsia="宋体" w:hAnsi="Times New Roman" w:cs="Times New Roman" w:hint="eastAsia"/>
          <w:bCs/>
          <w:szCs w:val="21"/>
          <w:vertAlign w:val="superscript"/>
          <w:lang w:eastAsia="zh-Hans"/>
        </w:rPr>
        <w:t xml:space="preserve"> b)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Primer Type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: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Common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; </w:t>
      </w:r>
      <w:r w:rsidRPr="00802EA9">
        <w:rPr>
          <w:rFonts w:ascii="Times New Roman" w:eastAsia="宋体" w:hAnsi="Times New Roman" w:cs="Times New Roman" w:hint="eastAsia"/>
          <w:bCs/>
          <w:szCs w:val="21"/>
          <w:vertAlign w:val="superscript"/>
          <w:lang w:eastAsia="zh-Hans"/>
        </w:rPr>
        <w:t>c)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 xml:space="preserve"> Primer Type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 xml:space="preserve">: 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Mutant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;</w:t>
      </w:r>
    </w:p>
    <w:p w14:paraId="6A84CCF0" w14:textId="77777777" w:rsidR="00745285" w:rsidRPr="00802EA9" w:rsidRDefault="00745285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</w:p>
    <w:p w14:paraId="357F1D00" w14:textId="55E21CE6" w:rsidR="00745285" w:rsidRDefault="00745285">
      <w:pPr>
        <w:spacing w:line="360" w:lineRule="auto"/>
        <w:rPr>
          <w:rFonts w:ascii="Times New Roman" w:eastAsia="宋体" w:hAnsi="Times New Roman" w:cs="Times New Roman"/>
          <w:bCs/>
          <w:szCs w:val="21"/>
          <w:lang w:eastAsia="zh-Hans"/>
        </w:rPr>
      </w:pP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Data availability statement</w:t>
      </w:r>
      <w:r w:rsidRPr="00802EA9">
        <w:rPr>
          <w:rFonts w:ascii="Times New Roman" w:eastAsia="宋体" w:hAnsi="Times New Roman" w:cs="Times New Roman" w:hint="eastAsia"/>
          <w:bCs/>
          <w:szCs w:val="21"/>
          <w:lang w:eastAsia="zh-Hans"/>
        </w:rPr>
        <w:t>：</w:t>
      </w:r>
      <w:r w:rsidRPr="00802EA9">
        <w:rPr>
          <w:rFonts w:ascii="Times New Roman" w:eastAsia="宋体" w:hAnsi="Times New Roman" w:cs="Times New Roman"/>
          <w:bCs/>
          <w:szCs w:val="21"/>
          <w:lang w:eastAsia="zh-Hans"/>
        </w:rPr>
        <w:t>The data that support the findings of this study are available from the corresponding author upon reasonable request.</w:t>
      </w:r>
    </w:p>
    <w:sectPr w:rsidR="00745285">
      <w:footerReference w:type="default" r:id="rId1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AC8E7" w14:textId="77777777" w:rsidR="001D7784" w:rsidRDefault="001D7784" w:rsidP="00634C72">
      <w:r>
        <w:separator/>
      </w:r>
    </w:p>
  </w:endnote>
  <w:endnote w:type="continuationSeparator" w:id="0">
    <w:p w14:paraId="585B5B2E" w14:textId="77777777" w:rsidR="001D7784" w:rsidRDefault="001D7784" w:rsidP="0063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Regular">
    <w:altName w:val="Times New Roman"/>
    <w:charset w:val="00"/>
    <w:family w:val="auto"/>
    <w:pitch w:val="default"/>
  </w:font>
  <w:font w:name="FrutigerLTStd-Bold">
    <w:altName w:val="Segoe Print"/>
    <w:charset w:val="00"/>
    <w:family w:val="auto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6481756"/>
      <w:docPartObj>
        <w:docPartGallery w:val="Page Numbers (Bottom of Page)"/>
        <w:docPartUnique/>
      </w:docPartObj>
    </w:sdtPr>
    <w:sdtContent>
      <w:p w14:paraId="3D951E19" w14:textId="1349CBE3" w:rsidR="00B77B5B" w:rsidRDefault="00B77B5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85D249" w14:textId="77777777" w:rsidR="00B77B5B" w:rsidRDefault="00B77B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B5A08" w14:textId="77777777" w:rsidR="001D7784" w:rsidRDefault="001D7784" w:rsidP="00634C72">
      <w:r>
        <w:separator/>
      </w:r>
    </w:p>
  </w:footnote>
  <w:footnote w:type="continuationSeparator" w:id="0">
    <w:p w14:paraId="452E6578" w14:textId="77777777" w:rsidR="001D7784" w:rsidRDefault="001D7784" w:rsidP="00634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82265"/>
    <w:multiLevelType w:val="hybridMultilevel"/>
    <w:tmpl w:val="54D8450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2A60E83"/>
    <w:multiLevelType w:val="hybridMultilevel"/>
    <w:tmpl w:val="F7C4AA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698745887">
    <w:abstractNumId w:val="0"/>
  </w:num>
  <w:num w:numId="2" w16cid:durableId="1242637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FhZDM0MjllYTc0Yjk5OTY5YmY3NjU3OWU4NzQzZTM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mmunit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edzar5d2s9wteezd6xz5dp0zeeew5wf9ds&quot;&gt;Treg-abcg1-microgli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9&lt;/item&gt;&lt;item&gt;30&lt;/item&gt;&lt;item&gt;32&lt;/item&gt;&lt;item&gt;33&lt;/item&gt;&lt;item&gt;34&lt;/item&gt;&lt;item&gt;35&lt;/item&gt;&lt;item&gt;37&lt;/item&gt;&lt;item&gt;38&lt;/item&gt;&lt;item&gt;39&lt;/item&gt;&lt;item&gt;40&lt;/item&gt;&lt;/record-ids&gt;&lt;/item&gt;&lt;/Libraries&gt;"/>
  </w:docVars>
  <w:rsids>
    <w:rsidRoot w:val="DF51B794"/>
    <w:rsid w:val="00000AF4"/>
    <w:rsid w:val="00000F6E"/>
    <w:rsid w:val="000020FE"/>
    <w:rsid w:val="00002FBD"/>
    <w:rsid w:val="0000313D"/>
    <w:rsid w:val="00005AF3"/>
    <w:rsid w:val="00007CDF"/>
    <w:rsid w:val="00011A10"/>
    <w:rsid w:val="00012A24"/>
    <w:rsid w:val="0001415B"/>
    <w:rsid w:val="000169D2"/>
    <w:rsid w:val="00016C9C"/>
    <w:rsid w:val="000179B1"/>
    <w:rsid w:val="00024A88"/>
    <w:rsid w:val="00025804"/>
    <w:rsid w:val="00032DD7"/>
    <w:rsid w:val="000362C0"/>
    <w:rsid w:val="00036602"/>
    <w:rsid w:val="000374A7"/>
    <w:rsid w:val="00041564"/>
    <w:rsid w:val="0004499E"/>
    <w:rsid w:val="00045D89"/>
    <w:rsid w:val="000503A8"/>
    <w:rsid w:val="000543B1"/>
    <w:rsid w:val="00057294"/>
    <w:rsid w:val="0006031E"/>
    <w:rsid w:val="0006220B"/>
    <w:rsid w:val="00062E94"/>
    <w:rsid w:val="00064C29"/>
    <w:rsid w:val="000710C4"/>
    <w:rsid w:val="0007113A"/>
    <w:rsid w:val="00071769"/>
    <w:rsid w:val="00073ED8"/>
    <w:rsid w:val="000747F5"/>
    <w:rsid w:val="000766A1"/>
    <w:rsid w:val="000778D6"/>
    <w:rsid w:val="000844DD"/>
    <w:rsid w:val="00084DE3"/>
    <w:rsid w:val="000850D4"/>
    <w:rsid w:val="0008606C"/>
    <w:rsid w:val="000873FB"/>
    <w:rsid w:val="00087882"/>
    <w:rsid w:val="00092AF6"/>
    <w:rsid w:val="00092D63"/>
    <w:rsid w:val="0009331B"/>
    <w:rsid w:val="0009407F"/>
    <w:rsid w:val="00095378"/>
    <w:rsid w:val="00096023"/>
    <w:rsid w:val="000978E4"/>
    <w:rsid w:val="00097B25"/>
    <w:rsid w:val="00097C97"/>
    <w:rsid w:val="000A6E83"/>
    <w:rsid w:val="000B25FA"/>
    <w:rsid w:val="000B3994"/>
    <w:rsid w:val="000C1B5D"/>
    <w:rsid w:val="000C4967"/>
    <w:rsid w:val="000C51FB"/>
    <w:rsid w:val="000C6316"/>
    <w:rsid w:val="000C76D7"/>
    <w:rsid w:val="000C7BA3"/>
    <w:rsid w:val="000D1054"/>
    <w:rsid w:val="000D2699"/>
    <w:rsid w:val="000D2DE1"/>
    <w:rsid w:val="000D3EBF"/>
    <w:rsid w:val="000E17CC"/>
    <w:rsid w:val="000E1EFF"/>
    <w:rsid w:val="000E5872"/>
    <w:rsid w:val="000F194C"/>
    <w:rsid w:val="000F2DF5"/>
    <w:rsid w:val="000F4822"/>
    <w:rsid w:val="000F4AD2"/>
    <w:rsid w:val="000F532A"/>
    <w:rsid w:val="000F7A36"/>
    <w:rsid w:val="0010085D"/>
    <w:rsid w:val="00101230"/>
    <w:rsid w:val="001032F4"/>
    <w:rsid w:val="00104272"/>
    <w:rsid w:val="00104791"/>
    <w:rsid w:val="001069C6"/>
    <w:rsid w:val="00106C3B"/>
    <w:rsid w:val="00106D52"/>
    <w:rsid w:val="0011297F"/>
    <w:rsid w:val="00113806"/>
    <w:rsid w:val="00113F60"/>
    <w:rsid w:val="00115ACD"/>
    <w:rsid w:val="001204FC"/>
    <w:rsid w:val="00122573"/>
    <w:rsid w:val="00126107"/>
    <w:rsid w:val="001407CE"/>
    <w:rsid w:val="00140998"/>
    <w:rsid w:val="00141D85"/>
    <w:rsid w:val="0014540C"/>
    <w:rsid w:val="001500EC"/>
    <w:rsid w:val="00155339"/>
    <w:rsid w:val="00166130"/>
    <w:rsid w:val="00166E61"/>
    <w:rsid w:val="001715F1"/>
    <w:rsid w:val="001746DE"/>
    <w:rsid w:val="00177372"/>
    <w:rsid w:val="001816D4"/>
    <w:rsid w:val="00182F87"/>
    <w:rsid w:val="001831B5"/>
    <w:rsid w:val="00183F39"/>
    <w:rsid w:val="00187132"/>
    <w:rsid w:val="00187DFF"/>
    <w:rsid w:val="001913D3"/>
    <w:rsid w:val="001918F7"/>
    <w:rsid w:val="001A27A7"/>
    <w:rsid w:val="001B3951"/>
    <w:rsid w:val="001B3FF6"/>
    <w:rsid w:val="001B52EC"/>
    <w:rsid w:val="001B59EB"/>
    <w:rsid w:val="001B6076"/>
    <w:rsid w:val="001B628C"/>
    <w:rsid w:val="001C20AE"/>
    <w:rsid w:val="001C3CE0"/>
    <w:rsid w:val="001C7A33"/>
    <w:rsid w:val="001D7784"/>
    <w:rsid w:val="001D788E"/>
    <w:rsid w:val="001D7EB4"/>
    <w:rsid w:val="001E34D1"/>
    <w:rsid w:val="001E3D9E"/>
    <w:rsid w:val="001E4644"/>
    <w:rsid w:val="001E508E"/>
    <w:rsid w:val="001E5A44"/>
    <w:rsid w:val="001F13B1"/>
    <w:rsid w:val="001F1EB4"/>
    <w:rsid w:val="001F1F03"/>
    <w:rsid w:val="001F33FF"/>
    <w:rsid w:val="001F41FA"/>
    <w:rsid w:val="001F530E"/>
    <w:rsid w:val="001F56AD"/>
    <w:rsid w:val="001F5945"/>
    <w:rsid w:val="00203E77"/>
    <w:rsid w:val="00205846"/>
    <w:rsid w:val="00210CC7"/>
    <w:rsid w:val="00211FC2"/>
    <w:rsid w:val="00213887"/>
    <w:rsid w:val="00214CAF"/>
    <w:rsid w:val="00215C66"/>
    <w:rsid w:val="00216A81"/>
    <w:rsid w:val="0021743D"/>
    <w:rsid w:val="0021786D"/>
    <w:rsid w:val="00217BA2"/>
    <w:rsid w:val="0022241B"/>
    <w:rsid w:val="00222D02"/>
    <w:rsid w:val="0023099F"/>
    <w:rsid w:val="00232B82"/>
    <w:rsid w:val="00235A29"/>
    <w:rsid w:val="00235BB8"/>
    <w:rsid w:val="0024685C"/>
    <w:rsid w:val="00247E0B"/>
    <w:rsid w:val="00251A55"/>
    <w:rsid w:val="002632F5"/>
    <w:rsid w:val="00265406"/>
    <w:rsid w:val="00266910"/>
    <w:rsid w:val="0026760E"/>
    <w:rsid w:val="0026771A"/>
    <w:rsid w:val="00271700"/>
    <w:rsid w:val="00272FFA"/>
    <w:rsid w:val="00276B78"/>
    <w:rsid w:val="00276DBB"/>
    <w:rsid w:val="00284E67"/>
    <w:rsid w:val="00293661"/>
    <w:rsid w:val="002A1B78"/>
    <w:rsid w:val="002A3523"/>
    <w:rsid w:val="002B0C02"/>
    <w:rsid w:val="002B1AEF"/>
    <w:rsid w:val="002B1C73"/>
    <w:rsid w:val="002B36E7"/>
    <w:rsid w:val="002C1E4F"/>
    <w:rsid w:val="002C2FB4"/>
    <w:rsid w:val="002C32B3"/>
    <w:rsid w:val="002C3686"/>
    <w:rsid w:val="002C3E75"/>
    <w:rsid w:val="002C5259"/>
    <w:rsid w:val="002C74D6"/>
    <w:rsid w:val="002D451A"/>
    <w:rsid w:val="002D56EA"/>
    <w:rsid w:val="002D5B47"/>
    <w:rsid w:val="002D78E5"/>
    <w:rsid w:val="002E32B2"/>
    <w:rsid w:val="002E34AD"/>
    <w:rsid w:val="002E5176"/>
    <w:rsid w:val="002E540A"/>
    <w:rsid w:val="002E57A5"/>
    <w:rsid w:val="002F5386"/>
    <w:rsid w:val="002F5783"/>
    <w:rsid w:val="002F6DC4"/>
    <w:rsid w:val="002F7754"/>
    <w:rsid w:val="002F7772"/>
    <w:rsid w:val="00301ACB"/>
    <w:rsid w:val="00303499"/>
    <w:rsid w:val="00305F47"/>
    <w:rsid w:val="003145AE"/>
    <w:rsid w:val="00314BBD"/>
    <w:rsid w:val="0032026A"/>
    <w:rsid w:val="00321EF1"/>
    <w:rsid w:val="00322B66"/>
    <w:rsid w:val="003232D3"/>
    <w:rsid w:val="00323B08"/>
    <w:rsid w:val="003309B2"/>
    <w:rsid w:val="00331C4A"/>
    <w:rsid w:val="00332ED9"/>
    <w:rsid w:val="003331B1"/>
    <w:rsid w:val="003339EF"/>
    <w:rsid w:val="0033523F"/>
    <w:rsid w:val="00335DDB"/>
    <w:rsid w:val="0033772A"/>
    <w:rsid w:val="00342864"/>
    <w:rsid w:val="003450A8"/>
    <w:rsid w:val="003469CE"/>
    <w:rsid w:val="00364992"/>
    <w:rsid w:val="00374425"/>
    <w:rsid w:val="00377261"/>
    <w:rsid w:val="0038179F"/>
    <w:rsid w:val="0038295D"/>
    <w:rsid w:val="00385371"/>
    <w:rsid w:val="00385581"/>
    <w:rsid w:val="003866F7"/>
    <w:rsid w:val="00390447"/>
    <w:rsid w:val="00390F60"/>
    <w:rsid w:val="00391371"/>
    <w:rsid w:val="0039191E"/>
    <w:rsid w:val="003938B0"/>
    <w:rsid w:val="003A1D6D"/>
    <w:rsid w:val="003A2A69"/>
    <w:rsid w:val="003A5C36"/>
    <w:rsid w:val="003B09F4"/>
    <w:rsid w:val="003B18D7"/>
    <w:rsid w:val="003B7599"/>
    <w:rsid w:val="003C269F"/>
    <w:rsid w:val="003C7690"/>
    <w:rsid w:val="003D1781"/>
    <w:rsid w:val="003D1826"/>
    <w:rsid w:val="003D21B9"/>
    <w:rsid w:val="003D2220"/>
    <w:rsid w:val="003E0DC5"/>
    <w:rsid w:val="003F1855"/>
    <w:rsid w:val="003F1AE8"/>
    <w:rsid w:val="003F4415"/>
    <w:rsid w:val="003F5066"/>
    <w:rsid w:val="003F5181"/>
    <w:rsid w:val="00406449"/>
    <w:rsid w:val="00406AD2"/>
    <w:rsid w:val="004076D4"/>
    <w:rsid w:val="00421EF2"/>
    <w:rsid w:val="00423532"/>
    <w:rsid w:val="004248C1"/>
    <w:rsid w:val="00425F4C"/>
    <w:rsid w:val="004301CB"/>
    <w:rsid w:val="00431BF9"/>
    <w:rsid w:val="0043226B"/>
    <w:rsid w:val="00432CA2"/>
    <w:rsid w:val="00436510"/>
    <w:rsid w:val="00440AB3"/>
    <w:rsid w:val="0044175E"/>
    <w:rsid w:val="004418BD"/>
    <w:rsid w:val="00445AE5"/>
    <w:rsid w:val="00455A9A"/>
    <w:rsid w:val="00462BE2"/>
    <w:rsid w:val="00462E3F"/>
    <w:rsid w:val="004731A0"/>
    <w:rsid w:val="00475FD5"/>
    <w:rsid w:val="00480705"/>
    <w:rsid w:val="00481E7A"/>
    <w:rsid w:val="004854F1"/>
    <w:rsid w:val="00485EE5"/>
    <w:rsid w:val="00491A2C"/>
    <w:rsid w:val="00492032"/>
    <w:rsid w:val="00492530"/>
    <w:rsid w:val="00492D48"/>
    <w:rsid w:val="00495426"/>
    <w:rsid w:val="004A05EB"/>
    <w:rsid w:val="004B288A"/>
    <w:rsid w:val="004B3206"/>
    <w:rsid w:val="004B4D6B"/>
    <w:rsid w:val="004B4E71"/>
    <w:rsid w:val="004B61D4"/>
    <w:rsid w:val="004C15A9"/>
    <w:rsid w:val="004C3BAD"/>
    <w:rsid w:val="004C6148"/>
    <w:rsid w:val="004D550F"/>
    <w:rsid w:val="004E0121"/>
    <w:rsid w:val="004E1015"/>
    <w:rsid w:val="004E3558"/>
    <w:rsid w:val="004F016C"/>
    <w:rsid w:val="004F3372"/>
    <w:rsid w:val="004F4ECE"/>
    <w:rsid w:val="00502938"/>
    <w:rsid w:val="00511213"/>
    <w:rsid w:val="00514538"/>
    <w:rsid w:val="00521934"/>
    <w:rsid w:val="005229F8"/>
    <w:rsid w:val="00522BB7"/>
    <w:rsid w:val="00524292"/>
    <w:rsid w:val="0052461F"/>
    <w:rsid w:val="00526AC5"/>
    <w:rsid w:val="005310D3"/>
    <w:rsid w:val="00531BEB"/>
    <w:rsid w:val="00532DA5"/>
    <w:rsid w:val="00533556"/>
    <w:rsid w:val="00533BBC"/>
    <w:rsid w:val="00537D5A"/>
    <w:rsid w:val="005424D5"/>
    <w:rsid w:val="00551691"/>
    <w:rsid w:val="00552E98"/>
    <w:rsid w:val="005533D4"/>
    <w:rsid w:val="005571FE"/>
    <w:rsid w:val="005647C3"/>
    <w:rsid w:val="00564852"/>
    <w:rsid w:val="00566C27"/>
    <w:rsid w:val="00567735"/>
    <w:rsid w:val="00570369"/>
    <w:rsid w:val="00572401"/>
    <w:rsid w:val="00575FD2"/>
    <w:rsid w:val="00583A6C"/>
    <w:rsid w:val="0058425C"/>
    <w:rsid w:val="00592261"/>
    <w:rsid w:val="005928B8"/>
    <w:rsid w:val="0059417A"/>
    <w:rsid w:val="005A0098"/>
    <w:rsid w:val="005A1E4F"/>
    <w:rsid w:val="005A39DD"/>
    <w:rsid w:val="005A6C18"/>
    <w:rsid w:val="005B03B1"/>
    <w:rsid w:val="005B3E49"/>
    <w:rsid w:val="005B4C2E"/>
    <w:rsid w:val="005B6400"/>
    <w:rsid w:val="005B666F"/>
    <w:rsid w:val="005B7550"/>
    <w:rsid w:val="005C2977"/>
    <w:rsid w:val="005C35DC"/>
    <w:rsid w:val="005C68F2"/>
    <w:rsid w:val="005C752D"/>
    <w:rsid w:val="005D0D5E"/>
    <w:rsid w:val="005D49AB"/>
    <w:rsid w:val="005D5065"/>
    <w:rsid w:val="005D558D"/>
    <w:rsid w:val="005D7AA1"/>
    <w:rsid w:val="005E051B"/>
    <w:rsid w:val="005E1950"/>
    <w:rsid w:val="005E2A0B"/>
    <w:rsid w:val="005E389A"/>
    <w:rsid w:val="005F1EA2"/>
    <w:rsid w:val="005F333B"/>
    <w:rsid w:val="00604CBD"/>
    <w:rsid w:val="00605CDA"/>
    <w:rsid w:val="00613DB8"/>
    <w:rsid w:val="00615D19"/>
    <w:rsid w:val="00620716"/>
    <w:rsid w:val="006239D1"/>
    <w:rsid w:val="00630CDF"/>
    <w:rsid w:val="00632F17"/>
    <w:rsid w:val="00633D26"/>
    <w:rsid w:val="00634C72"/>
    <w:rsid w:val="00641794"/>
    <w:rsid w:val="00644987"/>
    <w:rsid w:val="006468A6"/>
    <w:rsid w:val="0065095A"/>
    <w:rsid w:val="00652173"/>
    <w:rsid w:val="0065420B"/>
    <w:rsid w:val="00654A43"/>
    <w:rsid w:val="00657E49"/>
    <w:rsid w:val="00661290"/>
    <w:rsid w:val="00662D05"/>
    <w:rsid w:val="00663BAD"/>
    <w:rsid w:val="00666246"/>
    <w:rsid w:val="00666E85"/>
    <w:rsid w:val="00670915"/>
    <w:rsid w:val="006741F6"/>
    <w:rsid w:val="00675173"/>
    <w:rsid w:val="006775FB"/>
    <w:rsid w:val="00677B2C"/>
    <w:rsid w:val="006823D7"/>
    <w:rsid w:val="0068482E"/>
    <w:rsid w:val="00684DFA"/>
    <w:rsid w:val="0068585E"/>
    <w:rsid w:val="00685C3F"/>
    <w:rsid w:val="00686CEB"/>
    <w:rsid w:val="00690ADB"/>
    <w:rsid w:val="00694F70"/>
    <w:rsid w:val="006950E9"/>
    <w:rsid w:val="006A080F"/>
    <w:rsid w:val="006A1754"/>
    <w:rsid w:val="006A4AAF"/>
    <w:rsid w:val="006A5F60"/>
    <w:rsid w:val="006A7B9D"/>
    <w:rsid w:val="006B3311"/>
    <w:rsid w:val="006B3440"/>
    <w:rsid w:val="006B55B8"/>
    <w:rsid w:val="006B7792"/>
    <w:rsid w:val="006B7A36"/>
    <w:rsid w:val="006C0BC4"/>
    <w:rsid w:val="006C0BCE"/>
    <w:rsid w:val="006C526D"/>
    <w:rsid w:val="006C6A94"/>
    <w:rsid w:val="006C6E0A"/>
    <w:rsid w:val="006D2687"/>
    <w:rsid w:val="006D56FB"/>
    <w:rsid w:val="006D60F7"/>
    <w:rsid w:val="006E0EDA"/>
    <w:rsid w:val="006E5F50"/>
    <w:rsid w:val="006E71CB"/>
    <w:rsid w:val="006F4780"/>
    <w:rsid w:val="006F4ACA"/>
    <w:rsid w:val="006F6B7A"/>
    <w:rsid w:val="007023F6"/>
    <w:rsid w:val="007041ED"/>
    <w:rsid w:val="00707CC3"/>
    <w:rsid w:val="00710771"/>
    <w:rsid w:val="00712F01"/>
    <w:rsid w:val="007141D3"/>
    <w:rsid w:val="00720029"/>
    <w:rsid w:val="00721E73"/>
    <w:rsid w:val="0072352C"/>
    <w:rsid w:val="007239B0"/>
    <w:rsid w:val="00723D2C"/>
    <w:rsid w:val="007248D3"/>
    <w:rsid w:val="00725252"/>
    <w:rsid w:val="007256FC"/>
    <w:rsid w:val="007275A4"/>
    <w:rsid w:val="007314EF"/>
    <w:rsid w:val="00736458"/>
    <w:rsid w:val="00737ABC"/>
    <w:rsid w:val="00742975"/>
    <w:rsid w:val="00742BD2"/>
    <w:rsid w:val="0074500D"/>
    <w:rsid w:val="00745285"/>
    <w:rsid w:val="0074581D"/>
    <w:rsid w:val="00751114"/>
    <w:rsid w:val="007527C6"/>
    <w:rsid w:val="00752FFB"/>
    <w:rsid w:val="00756CD8"/>
    <w:rsid w:val="0076009D"/>
    <w:rsid w:val="007605DF"/>
    <w:rsid w:val="00761502"/>
    <w:rsid w:val="0076364E"/>
    <w:rsid w:val="007644AB"/>
    <w:rsid w:val="007651B8"/>
    <w:rsid w:val="007651E9"/>
    <w:rsid w:val="00766FC7"/>
    <w:rsid w:val="00774730"/>
    <w:rsid w:val="00775FC0"/>
    <w:rsid w:val="00776BF8"/>
    <w:rsid w:val="007813C1"/>
    <w:rsid w:val="00782781"/>
    <w:rsid w:val="007846CA"/>
    <w:rsid w:val="00784EB1"/>
    <w:rsid w:val="007904FB"/>
    <w:rsid w:val="007913D8"/>
    <w:rsid w:val="00791527"/>
    <w:rsid w:val="00791C3B"/>
    <w:rsid w:val="00791DF2"/>
    <w:rsid w:val="00792900"/>
    <w:rsid w:val="00795F2C"/>
    <w:rsid w:val="00796660"/>
    <w:rsid w:val="00796F51"/>
    <w:rsid w:val="007A0F54"/>
    <w:rsid w:val="007A6840"/>
    <w:rsid w:val="007B06A4"/>
    <w:rsid w:val="007B1FBF"/>
    <w:rsid w:val="007B24C6"/>
    <w:rsid w:val="007C284B"/>
    <w:rsid w:val="007C2C3E"/>
    <w:rsid w:val="007C5990"/>
    <w:rsid w:val="007D06A2"/>
    <w:rsid w:val="007D131F"/>
    <w:rsid w:val="007D16BE"/>
    <w:rsid w:val="007D3EE2"/>
    <w:rsid w:val="007D42D5"/>
    <w:rsid w:val="007D7DC6"/>
    <w:rsid w:val="007E3C24"/>
    <w:rsid w:val="007E5444"/>
    <w:rsid w:val="007E57FF"/>
    <w:rsid w:val="007E6C88"/>
    <w:rsid w:val="007E7131"/>
    <w:rsid w:val="007E7D31"/>
    <w:rsid w:val="007F0722"/>
    <w:rsid w:val="007F1579"/>
    <w:rsid w:val="007F1616"/>
    <w:rsid w:val="007F2652"/>
    <w:rsid w:val="007F4180"/>
    <w:rsid w:val="007F71C3"/>
    <w:rsid w:val="007F745D"/>
    <w:rsid w:val="00802B97"/>
    <w:rsid w:val="00802EA9"/>
    <w:rsid w:val="0080508E"/>
    <w:rsid w:val="00807C10"/>
    <w:rsid w:val="008124A4"/>
    <w:rsid w:val="008133B3"/>
    <w:rsid w:val="00813A8F"/>
    <w:rsid w:val="00816875"/>
    <w:rsid w:val="00820B43"/>
    <w:rsid w:val="008214EE"/>
    <w:rsid w:val="00823E32"/>
    <w:rsid w:val="00824687"/>
    <w:rsid w:val="008253DD"/>
    <w:rsid w:val="00830596"/>
    <w:rsid w:val="00834CA8"/>
    <w:rsid w:val="00836A45"/>
    <w:rsid w:val="0083747A"/>
    <w:rsid w:val="00843DD1"/>
    <w:rsid w:val="008546A7"/>
    <w:rsid w:val="00860B67"/>
    <w:rsid w:val="00862A42"/>
    <w:rsid w:val="00864EA5"/>
    <w:rsid w:val="00864F23"/>
    <w:rsid w:val="0086674E"/>
    <w:rsid w:val="00866EEE"/>
    <w:rsid w:val="008707AD"/>
    <w:rsid w:val="00871E0D"/>
    <w:rsid w:val="0087330B"/>
    <w:rsid w:val="00881B95"/>
    <w:rsid w:val="0088222A"/>
    <w:rsid w:val="00882F7C"/>
    <w:rsid w:val="00883E74"/>
    <w:rsid w:val="00883F33"/>
    <w:rsid w:val="00885A3D"/>
    <w:rsid w:val="008933C0"/>
    <w:rsid w:val="00896203"/>
    <w:rsid w:val="008A024D"/>
    <w:rsid w:val="008A052D"/>
    <w:rsid w:val="008A25C2"/>
    <w:rsid w:val="008B1417"/>
    <w:rsid w:val="008B51A7"/>
    <w:rsid w:val="008C0AC0"/>
    <w:rsid w:val="008C1179"/>
    <w:rsid w:val="008C234A"/>
    <w:rsid w:val="008C3C9B"/>
    <w:rsid w:val="008C4C5D"/>
    <w:rsid w:val="008E16AA"/>
    <w:rsid w:val="008E5E21"/>
    <w:rsid w:val="008E67B1"/>
    <w:rsid w:val="008E6DF3"/>
    <w:rsid w:val="008F10CF"/>
    <w:rsid w:val="008F2A5D"/>
    <w:rsid w:val="008F7EAE"/>
    <w:rsid w:val="00901DD6"/>
    <w:rsid w:val="00901E89"/>
    <w:rsid w:val="00902BD2"/>
    <w:rsid w:val="00905364"/>
    <w:rsid w:val="009057C4"/>
    <w:rsid w:val="0090653E"/>
    <w:rsid w:val="00907116"/>
    <w:rsid w:val="00907473"/>
    <w:rsid w:val="00913416"/>
    <w:rsid w:val="00914BF2"/>
    <w:rsid w:val="00916C3E"/>
    <w:rsid w:val="00920B45"/>
    <w:rsid w:val="00923A21"/>
    <w:rsid w:val="00930101"/>
    <w:rsid w:val="00935F40"/>
    <w:rsid w:val="0094271C"/>
    <w:rsid w:val="0094572B"/>
    <w:rsid w:val="00945D21"/>
    <w:rsid w:val="00946878"/>
    <w:rsid w:val="00947447"/>
    <w:rsid w:val="0095004D"/>
    <w:rsid w:val="00950D4E"/>
    <w:rsid w:val="00954EE7"/>
    <w:rsid w:val="00960531"/>
    <w:rsid w:val="00964669"/>
    <w:rsid w:val="009646B8"/>
    <w:rsid w:val="00967316"/>
    <w:rsid w:val="00973231"/>
    <w:rsid w:val="00974596"/>
    <w:rsid w:val="00976329"/>
    <w:rsid w:val="00992089"/>
    <w:rsid w:val="00996BAA"/>
    <w:rsid w:val="009977C7"/>
    <w:rsid w:val="009A2A14"/>
    <w:rsid w:val="009A37AA"/>
    <w:rsid w:val="009A63CC"/>
    <w:rsid w:val="009B0E43"/>
    <w:rsid w:val="009B3B9D"/>
    <w:rsid w:val="009B3D94"/>
    <w:rsid w:val="009B3EFF"/>
    <w:rsid w:val="009B549B"/>
    <w:rsid w:val="009B6652"/>
    <w:rsid w:val="009B6C71"/>
    <w:rsid w:val="009C28B8"/>
    <w:rsid w:val="009C4D4F"/>
    <w:rsid w:val="009C59B4"/>
    <w:rsid w:val="009C65DD"/>
    <w:rsid w:val="009C791F"/>
    <w:rsid w:val="009D0103"/>
    <w:rsid w:val="009D0836"/>
    <w:rsid w:val="009D3F24"/>
    <w:rsid w:val="009D4552"/>
    <w:rsid w:val="009D5677"/>
    <w:rsid w:val="009D6594"/>
    <w:rsid w:val="009E3298"/>
    <w:rsid w:val="009E56D1"/>
    <w:rsid w:val="009E5C2C"/>
    <w:rsid w:val="009E7D8E"/>
    <w:rsid w:val="00A0057A"/>
    <w:rsid w:val="00A00ADE"/>
    <w:rsid w:val="00A0163D"/>
    <w:rsid w:val="00A061E1"/>
    <w:rsid w:val="00A133A2"/>
    <w:rsid w:val="00A21C63"/>
    <w:rsid w:val="00A23DE0"/>
    <w:rsid w:val="00A24E95"/>
    <w:rsid w:val="00A27E3E"/>
    <w:rsid w:val="00A34452"/>
    <w:rsid w:val="00A50AF2"/>
    <w:rsid w:val="00A51C43"/>
    <w:rsid w:val="00A54935"/>
    <w:rsid w:val="00A54F26"/>
    <w:rsid w:val="00A57F59"/>
    <w:rsid w:val="00A6442D"/>
    <w:rsid w:val="00A64D88"/>
    <w:rsid w:val="00A650DC"/>
    <w:rsid w:val="00A65350"/>
    <w:rsid w:val="00A70370"/>
    <w:rsid w:val="00A743ED"/>
    <w:rsid w:val="00A80E1A"/>
    <w:rsid w:val="00A81501"/>
    <w:rsid w:val="00A85775"/>
    <w:rsid w:val="00A8577E"/>
    <w:rsid w:val="00A91399"/>
    <w:rsid w:val="00A933BD"/>
    <w:rsid w:val="00A9473C"/>
    <w:rsid w:val="00AA067C"/>
    <w:rsid w:val="00AA2618"/>
    <w:rsid w:val="00AA58B4"/>
    <w:rsid w:val="00AB0479"/>
    <w:rsid w:val="00AB29DB"/>
    <w:rsid w:val="00AC1705"/>
    <w:rsid w:val="00AC1C2E"/>
    <w:rsid w:val="00AC1F7F"/>
    <w:rsid w:val="00AC2C88"/>
    <w:rsid w:val="00AD18C2"/>
    <w:rsid w:val="00AD299F"/>
    <w:rsid w:val="00AD2EDC"/>
    <w:rsid w:val="00AD74AA"/>
    <w:rsid w:val="00AE16C3"/>
    <w:rsid w:val="00AE1C80"/>
    <w:rsid w:val="00AE40D2"/>
    <w:rsid w:val="00AF693D"/>
    <w:rsid w:val="00AF7539"/>
    <w:rsid w:val="00AF7546"/>
    <w:rsid w:val="00B0028D"/>
    <w:rsid w:val="00B02162"/>
    <w:rsid w:val="00B02947"/>
    <w:rsid w:val="00B03FD8"/>
    <w:rsid w:val="00B11EDE"/>
    <w:rsid w:val="00B11FD2"/>
    <w:rsid w:val="00B12C03"/>
    <w:rsid w:val="00B12E41"/>
    <w:rsid w:val="00B139CD"/>
    <w:rsid w:val="00B162BE"/>
    <w:rsid w:val="00B3158A"/>
    <w:rsid w:val="00B318C2"/>
    <w:rsid w:val="00B32458"/>
    <w:rsid w:val="00B3695B"/>
    <w:rsid w:val="00B36D61"/>
    <w:rsid w:val="00B37A82"/>
    <w:rsid w:val="00B37B33"/>
    <w:rsid w:val="00B446C1"/>
    <w:rsid w:val="00B44D97"/>
    <w:rsid w:val="00B46FAF"/>
    <w:rsid w:val="00B61CAE"/>
    <w:rsid w:val="00B61D42"/>
    <w:rsid w:val="00B62388"/>
    <w:rsid w:val="00B6297E"/>
    <w:rsid w:val="00B65410"/>
    <w:rsid w:val="00B67E36"/>
    <w:rsid w:val="00B70199"/>
    <w:rsid w:val="00B7098C"/>
    <w:rsid w:val="00B70DD2"/>
    <w:rsid w:val="00B72954"/>
    <w:rsid w:val="00B739F3"/>
    <w:rsid w:val="00B75B83"/>
    <w:rsid w:val="00B77B5B"/>
    <w:rsid w:val="00B81FF2"/>
    <w:rsid w:val="00B824F8"/>
    <w:rsid w:val="00B83A77"/>
    <w:rsid w:val="00B84D79"/>
    <w:rsid w:val="00B855B2"/>
    <w:rsid w:val="00B901BC"/>
    <w:rsid w:val="00B90FF4"/>
    <w:rsid w:val="00B96210"/>
    <w:rsid w:val="00BA02A4"/>
    <w:rsid w:val="00BA2833"/>
    <w:rsid w:val="00BA2985"/>
    <w:rsid w:val="00BA3138"/>
    <w:rsid w:val="00BB111C"/>
    <w:rsid w:val="00BB296B"/>
    <w:rsid w:val="00BB2A92"/>
    <w:rsid w:val="00BB2F96"/>
    <w:rsid w:val="00BB5520"/>
    <w:rsid w:val="00BC5E98"/>
    <w:rsid w:val="00BC7A04"/>
    <w:rsid w:val="00BD76C5"/>
    <w:rsid w:val="00BE0404"/>
    <w:rsid w:val="00BE198A"/>
    <w:rsid w:val="00BE3FE1"/>
    <w:rsid w:val="00BE6471"/>
    <w:rsid w:val="00BE6F70"/>
    <w:rsid w:val="00BF053D"/>
    <w:rsid w:val="00BF2E04"/>
    <w:rsid w:val="00BF74AA"/>
    <w:rsid w:val="00BF7D8F"/>
    <w:rsid w:val="00C05DAB"/>
    <w:rsid w:val="00C101F5"/>
    <w:rsid w:val="00C10686"/>
    <w:rsid w:val="00C10944"/>
    <w:rsid w:val="00C12B62"/>
    <w:rsid w:val="00C14ED9"/>
    <w:rsid w:val="00C158F4"/>
    <w:rsid w:val="00C218F3"/>
    <w:rsid w:val="00C21FD8"/>
    <w:rsid w:val="00C232C3"/>
    <w:rsid w:val="00C2452D"/>
    <w:rsid w:val="00C26D19"/>
    <w:rsid w:val="00C322FA"/>
    <w:rsid w:val="00C32398"/>
    <w:rsid w:val="00C32664"/>
    <w:rsid w:val="00C32E2A"/>
    <w:rsid w:val="00C36476"/>
    <w:rsid w:val="00C406DC"/>
    <w:rsid w:val="00C4308E"/>
    <w:rsid w:val="00C50D49"/>
    <w:rsid w:val="00C51990"/>
    <w:rsid w:val="00C52640"/>
    <w:rsid w:val="00C55937"/>
    <w:rsid w:val="00C62543"/>
    <w:rsid w:val="00C63AEE"/>
    <w:rsid w:val="00C658E1"/>
    <w:rsid w:val="00C65A88"/>
    <w:rsid w:val="00C67415"/>
    <w:rsid w:val="00C701C8"/>
    <w:rsid w:val="00C738B7"/>
    <w:rsid w:val="00C74538"/>
    <w:rsid w:val="00C75149"/>
    <w:rsid w:val="00C764A3"/>
    <w:rsid w:val="00C80976"/>
    <w:rsid w:val="00C86312"/>
    <w:rsid w:val="00C87038"/>
    <w:rsid w:val="00C91DF2"/>
    <w:rsid w:val="00C94C39"/>
    <w:rsid w:val="00C94F42"/>
    <w:rsid w:val="00C964A3"/>
    <w:rsid w:val="00C97701"/>
    <w:rsid w:val="00CA0147"/>
    <w:rsid w:val="00CA3BE6"/>
    <w:rsid w:val="00CA5904"/>
    <w:rsid w:val="00CA5E73"/>
    <w:rsid w:val="00CA7B9D"/>
    <w:rsid w:val="00CB2A5A"/>
    <w:rsid w:val="00CB4E94"/>
    <w:rsid w:val="00CC116C"/>
    <w:rsid w:val="00CC1993"/>
    <w:rsid w:val="00CC2790"/>
    <w:rsid w:val="00CC3936"/>
    <w:rsid w:val="00CC6394"/>
    <w:rsid w:val="00CD32C3"/>
    <w:rsid w:val="00CD345F"/>
    <w:rsid w:val="00CD3CB7"/>
    <w:rsid w:val="00CD5D46"/>
    <w:rsid w:val="00CD7290"/>
    <w:rsid w:val="00CE019A"/>
    <w:rsid w:val="00CE58CA"/>
    <w:rsid w:val="00CE6957"/>
    <w:rsid w:val="00CE6DF5"/>
    <w:rsid w:val="00CF0704"/>
    <w:rsid w:val="00CF7010"/>
    <w:rsid w:val="00CF78EB"/>
    <w:rsid w:val="00D01A0B"/>
    <w:rsid w:val="00D04DC2"/>
    <w:rsid w:val="00D05336"/>
    <w:rsid w:val="00D07A4F"/>
    <w:rsid w:val="00D1129A"/>
    <w:rsid w:val="00D11FC1"/>
    <w:rsid w:val="00D1290D"/>
    <w:rsid w:val="00D15550"/>
    <w:rsid w:val="00D21833"/>
    <w:rsid w:val="00D2673C"/>
    <w:rsid w:val="00D2737D"/>
    <w:rsid w:val="00D32D84"/>
    <w:rsid w:val="00D33E60"/>
    <w:rsid w:val="00D36E4C"/>
    <w:rsid w:val="00D41F5E"/>
    <w:rsid w:val="00D41F9E"/>
    <w:rsid w:val="00D42D57"/>
    <w:rsid w:val="00D44C38"/>
    <w:rsid w:val="00D50AFE"/>
    <w:rsid w:val="00D517D7"/>
    <w:rsid w:val="00D5425D"/>
    <w:rsid w:val="00D553D2"/>
    <w:rsid w:val="00D56831"/>
    <w:rsid w:val="00D57C12"/>
    <w:rsid w:val="00D6132F"/>
    <w:rsid w:val="00D73E8F"/>
    <w:rsid w:val="00D74BA4"/>
    <w:rsid w:val="00D74BC1"/>
    <w:rsid w:val="00D80A77"/>
    <w:rsid w:val="00D82CA4"/>
    <w:rsid w:val="00D90BC9"/>
    <w:rsid w:val="00DA74BD"/>
    <w:rsid w:val="00DB3A4E"/>
    <w:rsid w:val="00DB5C43"/>
    <w:rsid w:val="00DB697C"/>
    <w:rsid w:val="00DB6F31"/>
    <w:rsid w:val="00DC1B51"/>
    <w:rsid w:val="00DC4071"/>
    <w:rsid w:val="00DD1129"/>
    <w:rsid w:val="00DD1831"/>
    <w:rsid w:val="00DD64B0"/>
    <w:rsid w:val="00DD6DD6"/>
    <w:rsid w:val="00DD759D"/>
    <w:rsid w:val="00DD765D"/>
    <w:rsid w:val="00DD7F6A"/>
    <w:rsid w:val="00DE18C7"/>
    <w:rsid w:val="00DE1C88"/>
    <w:rsid w:val="00DE3B9C"/>
    <w:rsid w:val="00DE4619"/>
    <w:rsid w:val="00DE5229"/>
    <w:rsid w:val="00DF39C8"/>
    <w:rsid w:val="00DF4489"/>
    <w:rsid w:val="00E02469"/>
    <w:rsid w:val="00E030BF"/>
    <w:rsid w:val="00E049F4"/>
    <w:rsid w:val="00E062A3"/>
    <w:rsid w:val="00E1124A"/>
    <w:rsid w:val="00E13378"/>
    <w:rsid w:val="00E13B9A"/>
    <w:rsid w:val="00E260D3"/>
    <w:rsid w:val="00E2650A"/>
    <w:rsid w:val="00E26C9E"/>
    <w:rsid w:val="00E277CC"/>
    <w:rsid w:val="00E30095"/>
    <w:rsid w:val="00E330D4"/>
    <w:rsid w:val="00E341B8"/>
    <w:rsid w:val="00E35AFD"/>
    <w:rsid w:val="00E372E4"/>
    <w:rsid w:val="00E41F83"/>
    <w:rsid w:val="00E421EC"/>
    <w:rsid w:val="00E472C1"/>
    <w:rsid w:val="00E5104A"/>
    <w:rsid w:val="00E52A62"/>
    <w:rsid w:val="00E5616A"/>
    <w:rsid w:val="00E56F62"/>
    <w:rsid w:val="00E6102C"/>
    <w:rsid w:val="00E679BB"/>
    <w:rsid w:val="00E67A9E"/>
    <w:rsid w:val="00E71B8F"/>
    <w:rsid w:val="00E731A0"/>
    <w:rsid w:val="00E7524A"/>
    <w:rsid w:val="00E83FEF"/>
    <w:rsid w:val="00E860E0"/>
    <w:rsid w:val="00E91266"/>
    <w:rsid w:val="00E9210A"/>
    <w:rsid w:val="00E94ED3"/>
    <w:rsid w:val="00E969A3"/>
    <w:rsid w:val="00EA071C"/>
    <w:rsid w:val="00EA0D0D"/>
    <w:rsid w:val="00EA0F54"/>
    <w:rsid w:val="00EA11CA"/>
    <w:rsid w:val="00EA150C"/>
    <w:rsid w:val="00EA351B"/>
    <w:rsid w:val="00EA49D3"/>
    <w:rsid w:val="00EA6968"/>
    <w:rsid w:val="00EA7D5F"/>
    <w:rsid w:val="00EB0830"/>
    <w:rsid w:val="00EB2E48"/>
    <w:rsid w:val="00EB573B"/>
    <w:rsid w:val="00EC31D8"/>
    <w:rsid w:val="00ED0A42"/>
    <w:rsid w:val="00ED1BCD"/>
    <w:rsid w:val="00ED5C28"/>
    <w:rsid w:val="00EE0C62"/>
    <w:rsid w:val="00EE7227"/>
    <w:rsid w:val="00EF2603"/>
    <w:rsid w:val="00EF27ED"/>
    <w:rsid w:val="00EF4596"/>
    <w:rsid w:val="00F062C7"/>
    <w:rsid w:val="00F119AE"/>
    <w:rsid w:val="00F12312"/>
    <w:rsid w:val="00F2192C"/>
    <w:rsid w:val="00F21BE0"/>
    <w:rsid w:val="00F25A77"/>
    <w:rsid w:val="00F30DC9"/>
    <w:rsid w:val="00F33D91"/>
    <w:rsid w:val="00F3604C"/>
    <w:rsid w:val="00F378CB"/>
    <w:rsid w:val="00F41297"/>
    <w:rsid w:val="00F41CFD"/>
    <w:rsid w:val="00F41E5C"/>
    <w:rsid w:val="00F472ED"/>
    <w:rsid w:val="00F47E13"/>
    <w:rsid w:val="00F5453E"/>
    <w:rsid w:val="00F57241"/>
    <w:rsid w:val="00F5773E"/>
    <w:rsid w:val="00F57FB4"/>
    <w:rsid w:val="00F62923"/>
    <w:rsid w:val="00F70C59"/>
    <w:rsid w:val="00F71FF0"/>
    <w:rsid w:val="00F75D6C"/>
    <w:rsid w:val="00F813C6"/>
    <w:rsid w:val="00F8203A"/>
    <w:rsid w:val="00F87385"/>
    <w:rsid w:val="00F908D9"/>
    <w:rsid w:val="00F91984"/>
    <w:rsid w:val="00F91B89"/>
    <w:rsid w:val="00F92F56"/>
    <w:rsid w:val="00F93BA6"/>
    <w:rsid w:val="00F94051"/>
    <w:rsid w:val="00F970D7"/>
    <w:rsid w:val="00F97EB5"/>
    <w:rsid w:val="00FA0834"/>
    <w:rsid w:val="00FA0A18"/>
    <w:rsid w:val="00FA10D5"/>
    <w:rsid w:val="00FA336B"/>
    <w:rsid w:val="00FA33A0"/>
    <w:rsid w:val="00FA3732"/>
    <w:rsid w:val="00FA38C9"/>
    <w:rsid w:val="00FA4541"/>
    <w:rsid w:val="00FB10BE"/>
    <w:rsid w:val="00FB7512"/>
    <w:rsid w:val="00FB7D1F"/>
    <w:rsid w:val="00FC07B2"/>
    <w:rsid w:val="00FC5BF5"/>
    <w:rsid w:val="00FD0405"/>
    <w:rsid w:val="00FD3F86"/>
    <w:rsid w:val="00FD5E41"/>
    <w:rsid w:val="00FE288A"/>
    <w:rsid w:val="00FF0B35"/>
    <w:rsid w:val="00FF3994"/>
    <w:rsid w:val="00FF5804"/>
    <w:rsid w:val="00FF6521"/>
    <w:rsid w:val="00FF6EDF"/>
    <w:rsid w:val="00FF7CBB"/>
    <w:rsid w:val="0315041F"/>
    <w:rsid w:val="068C410E"/>
    <w:rsid w:val="0A6C0264"/>
    <w:rsid w:val="0B442135"/>
    <w:rsid w:val="0D336E17"/>
    <w:rsid w:val="10FC434A"/>
    <w:rsid w:val="198E7C80"/>
    <w:rsid w:val="1B42772F"/>
    <w:rsid w:val="1DBE1568"/>
    <w:rsid w:val="1DDF7880"/>
    <w:rsid w:val="23BF0E4E"/>
    <w:rsid w:val="24935CF2"/>
    <w:rsid w:val="2A514DC2"/>
    <w:rsid w:val="2E5553A0"/>
    <w:rsid w:val="306262F5"/>
    <w:rsid w:val="31855066"/>
    <w:rsid w:val="31886E82"/>
    <w:rsid w:val="331210F9"/>
    <w:rsid w:val="37051EE1"/>
    <w:rsid w:val="467E2A1B"/>
    <w:rsid w:val="4B5400E0"/>
    <w:rsid w:val="4F7170EE"/>
    <w:rsid w:val="53FA0437"/>
    <w:rsid w:val="5CB45891"/>
    <w:rsid w:val="642566B0"/>
    <w:rsid w:val="64A2603E"/>
    <w:rsid w:val="65001E64"/>
    <w:rsid w:val="67A86E1E"/>
    <w:rsid w:val="69F06D97"/>
    <w:rsid w:val="734D3223"/>
    <w:rsid w:val="74A83A16"/>
    <w:rsid w:val="761C77B5"/>
    <w:rsid w:val="77183DD1"/>
    <w:rsid w:val="7A163E9A"/>
    <w:rsid w:val="7A9F8A95"/>
    <w:rsid w:val="7B6F2DEE"/>
    <w:rsid w:val="7C8415C1"/>
    <w:rsid w:val="7FF79264"/>
    <w:rsid w:val="DF51B794"/>
    <w:rsid w:val="E1EDAB1F"/>
    <w:rsid w:val="EA6E4E94"/>
    <w:rsid w:val="EDFCAFC5"/>
    <w:rsid w:val="F9E5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3A7FD1"/>
  <w14:defaultImageDpi w14:val="32767"/>
  <w15:docId w15:val="{E2EFD246-D8EF-4C73-8633-98D9C527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2BE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/>
      <w:kern w:val="0"/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line number"/>
    <w:basedOn w:val="a0"/>
    <w:qFormat/>
  </w:style>
  <w:style w:type="character" w:styleId="ad">
    <w:name w:val="Hyperlink"/>
    <w:basedOn w:val="a0"/>
    <w:qFormat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eastAsiaTheme="minorEastAsia" w:hAnsi="Calibri" w:cs="Calibri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eastAsiaTheme="minorEastAsia" w:hAnsi="Calibri" w:cs="Calibri"/>
      <w:kern w:val="2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书目1"/>
    <w:basedOn w:val="a"/>
    <w:next w:val="a"/>
    <w:uiPriority w:val="37"/>
    <w:unhideWhenUsed/>
    <w:qFormat/>
    <w:pPr>
      <w:tabs>
        <w:tab w:val="left" w:pos="264"/>
      </w:tabs>
      <w:spacing w:after="240"/>
      <w:ind w:left="264" w:hanging="264"/>
    </w:pPr>
  </w:style>
  <w:style w:type="character" w:customStyle="1" w:styleId="12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Head1">
    <w:name w:val="Head 1"/>
    <w:basedOn w:val="a"/>
    <w:autoRedefine/>
    <w:qFormat/>
    <w:pPr>
      <w:widowControl/>
      <w:spacing w:line="360" w:lineRule="auto"/>
      <w:jc w:val="left"/>
    </w:pPr>
    <w:rPr>
      <w:rFonts w:ascii="Times New Roman" w:eastAsia="MS Mincho" w:hAnsi="Times New Roman" w:cs="Times New Roman"/>
      <w:b/>
      <w:kern w:val="0"/>
      <w:sz w:val="24"/>
      <w:lang w:eastAsia="ja-JP"/>
    </w:rPr>
  </w:style>
  <w:style w:type="paragraph" w:customStyle="1" w:styleId="Maintext">
    <w:name w:val="Main text"/>
    <w:basedOn w:val="a"/>
    <w:link w:val="MaintextChar"/>
    <w:autoRedefine/>
    <w:qFormat/>
    <w:rsid w:val="00F70C59"/>
    <w:pPr>
      <w:widowControl/>
      <w:spacing w:line="360" w:lineRule="auto"/>
      <w:ind w:firstLineChars="200" w:firstLine="420"/>
      <w:jc w:val="left"/>
    </w:pPr>
    <w:rPr>
      <w:rFonts w:ascii="Times New Roman Regular" w:eastAsia="宋体" w:hAnsi="Times New Roman Regular" w:cs="Times New Roman Regular"/>
      <w:bCs/>
      <w:kern w:val="0"/>
      <w:szCs w:val="21"/>
      <w:lang w:eastAsia="zh-Hans"/>
    </w:rPr>
  </w:style>
  <w:style w:type="character" w:customStyle="1" w:styleId="MaintextChar">
    <w:name w:val="Main text Char"/>
    <w:link w:val="Maintext"/>
    <w:qFormat/>
    <w:rsid w:val="00F70C59"/>
    <w:rPr>
      <w:rFonts w:ascii="Times New Roman Regular" w:hAnsi="Times New Roman Regular" w:cs="Times New Roman Regular"/>
      <w:bCs/>
      <w:sz w:val="21"/>
      <w:szCs w:val="21"/>
      <w:lang w:eastAsia="zh-Hans"/>
    </w:rPr>
  </w:style>
  <w:style w:type="character" w:customStyle="1" w:styleId="10">
    <w:name w:val="标题 1 字符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styleId="af">
    <w:name w:val="annotation reference"/>
    <w:basedOn w:val="a0"/>
    <w:rPr>
      <w:sz w:val="21"/>
      <w:szCs w:val="21"/>
    </w:rPr>
  </w:style>
  <w:style w:type="paragraph" w:styleId="af0">
    <w:name w:val="Revision"/>
    <w:hidden/>
    <w:uiPriority w:val="99"/>
    <w:unhideWhenUsed/>
    <w:rsid w:val="00745285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1">
    <w:name w:val="annotation subject"/>
    <w:basedOn w:val="a3"/>
    <w:next w:val="a3"/>
    <w:link w:val="af2"/>
    <w:rsid w:val="00871E0D"/>
    <w:rPr>
      <w:b/>
      <w:bCs/>
    </w:rPr>
  </w:style>
  <w:style w:type="character" w:customStyle="1" w:styleId="a4">
    <w:name w:val="批注文字 字符"/>
    <w:basedOn w:val="a0"/>
    <w:link w:val="a3"/>
    <w:rsid w:val="00871E0D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2">
    <w:name w:val="批注主题 字符"/>
    <w:basedOn w:val="a4"/>
    <w:link w:val="af1"/>
    <w:rsid w:val="00871E0D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styleId="af3">
    <w:name w:val="Unresolved Mention"/>
    <w:basedOn w:val="a0"/>
    <w:uiPriority w:val="99"/>
    <w:semiHidden/>
    <w:unhideWhenUsed/>
    <w:rsid w:val="006F4ACA"/>
    <w:rPr>
      <w:color w:val="605E5C"/>
      <w:shd w:val="clear" w:color="auto" w:fill="E1DFDD"/>
    </w:rPr>
  </w:style>
  <w:style w:type="paragraph" w:styleId="af4">
    <w:name w:val="Bibliography"/>
    <w:basedOn w:val="a"/>
    <w:next w:val="a"/>
    <w:uiPriority w:val="37"/>
    <w:unhideWhenUsed/>
    <w:rsid w:val="00557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93289-860D-4DA6-BE2B-F56A05CB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11</Pages>
  <Words>1394</Words>
  <Characters>9361</Characters>
  <Application>Microsoft Office Word</Application>
  <DocSecurity>0</DocSecurity>
  <Lines>253</Lines>
  <Paragraphs>173</Paragraphs>
  <ScaleCrop>false</ScaleCrop>
  <Company/>
  <LinksUpToDate>false</LinksUpToDate>
  <CharactersWithSpaces>10582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邵禹棋</dc:creator>
  <cp:lastModifiedBy>Yuqi Shao</cp:lastModifiedBy>
  <cp:revision>991</cp:revision>
  <cp:lastPrinted>2026-02-08T18:03:00Z</cp:lastPrinted>
  <dcterms:created xsi:type="dcterms:W3CDTF">2023-08-11T10:20:00Z</dcterms:created>
  <dcterms:modified xsi:type="dcterms:W3CDTF">2026-04-24T14:00:00Z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A45A39F8A32E433EA53D1D3380BAFC2C_13</vt:lpwstr>
  </property>
  <property fmtid="{D5CDD505-2E9C-101B-9397-08002B2CF9AE}" pid="4" name="ZOTERO_PREF_1">
    <vt:lpwstr>&lt;data data-version="3" zotero-version="7.0.32"&gt;&lt;session id="VeOX4kG9"/&gt;&lt;style id="http://www.zotero.org/styles/american-medical-association" hasBibliography="1" bibliographyStyleHasBeenSet="1"/&gt;&lt;prefs&gt;&lt;pref name="fieldType" value="Field"/&gt;&lt;/prefs&gt;&lt;/data&gt;</vt:lpwstr>
  </property>
  <property fmtid="{D5CDD505-2E9C-101B-9397-08002B2CF9AE}" pid="5" name="KSOTemplateDocerSaveRecord">
    <vt:lpwstr>eyJoZGlkIjoiODVhNTRmZTY2YmVkNTQ5YzRmNDIxZDc2MDY5MDIzOTEiLCJ1c2VySWQiOiI0NjQyNTQ5MzEifQ==</vt:lpwstr>
  </property>
</Properties>
</file>