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C59D8" w14:textId="77777777" w:rsidR="009D4BEE" w:rsidRPr="009D4BEE" w:rsidRDefault="009D4BEE" w:rsidP="009D4BEE">
      <w:pPr>
        <w:spacing w:line="480" w:lineRule="auto"/>
        <w:jc w:val="both"/>
        <w:rPr>
          <w:rFonts w:ascii="Arial" w:eastAsiaTheme="minorEastAsia" w:hAnsi="Arial" w:cs="Arial"/>
          <w:b/>
          <w:bCs/>
          <w:sz w:val="24"/>
          <w:szCs w:val="24"/>
          <w:lang w:eastAsia="ja-JP"/>
        </w:rPr>
      </w:pPr>
      <w:r w:rsidRPr="009D4BEE">
        <w:rPr>
          <w:rFonts w:ascii="Arial" w:eastAsiaTheme="minorEastAsia" w:hAnsi="Arial" w:cs="Arial"/>
          <w:b/>
          <w:bCs/>
          <w:sz w:val="24"/>
          <w:szCs w:val="24"/>
          <w:lang w:eastAsia="ja-JP"/>
        </w:rPr>
        <w:t>Supplemental Figures</w:t>
      </w:r>
    </w:p>
    <w:p w14:paraId="7098FC59" w14:textId="3B39EC6B" w:rsidR="00A92690" w:rsidRDefault="00A92690" w:rsidP="00A92690">
      <w:pPr>
        <w:spacing w:line="480" w:lineRule="auto"/>
        <w:jc w:val="center"/>
        <w:rPr>
          <w:rFonts w:ascii="Arial" w:eastAsiaTheme="minorEastAsia" w:hAnsi="Arial" w:cs="Arial"/>
          <w:b/>
          <w:bCs/>
          <w:sz w:val="24"/>
          <w:szCs w:val="24"/>
          <w:lang w:eastAsia="ja-JP"/>
        </w:rPr>
      </w:pPr>
      <w:r>
        <w:rPr>
          <w:rFonts w:ascii="Arial" w:eastAsiaTheme="minorEastAsia" w:hAnsi="Arial" w:cs="Arial"/>
          <w:b/>
          <w:bCs/>
          <w:noProof/>
          <w:sz w:val="24"/>
          <w:szCs w:val="24"/>
          <w:lang w:eastAsia="ja-JP"/>
        </w:rPr>
        <w:drawing>
          <wp:inline distT="0" distB="0" distL="0" distR="0" wp14:anchorId="27570BBD" wp14:editId="112E69D3">
            <wp:extent cx="4241688" cy="7508013"/>
            <wp:effectExtent l="0" t="0" r="6985" b="0"/>
            <wp:docPr id="1280352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52106" cy="7526454"/>
                    </a:xfrm>
                    <a:prstGeom prst="rect">
                      <a:avLst/>
                    </a:prstGeom>
                    <a:noFill/>
                  </pic:spPr>
                </pic:pic>
              </a:graphicData>
            </a:graphic>
          </wp:inline>
        </w:drawing>
      </w:r>
    </w:p>
    <w:p w14:paraId="3636C66B" w14:textId="77777777" w:rsidR="00A92690" w:rsidRDefault="00A92690" w:rsidP="009D4BEE">
      <w:pPr>
        <w:spacing w:line="480" w:lineRule="auto"/>
        <w:jc w:val="both"/>
        <w:rPr>
          <w:rFonts w:ascii="Arial" w:eastAsiaTheme="minorEastAsia" w:hAnsi="Arial" w:cs="Arial"/>
          <w:b/>
          <w:bCs/>
          <w:sz w:val="24"/>
          <w:szCs w:val="24"/>
          <w:lang w:eastAsia="ja-JP"/>
        </w:rPr>
      </w:pPr>
    </w:p>
    <w:p w14:paraId="10AF7BA1" w14:textId="6E66C026" w:rsidR="009D4BEE" w:rsidRDefault="009D4BEE" w:rsidP="009D4BEE">
      <w:pPr>
        <w:spacing w:line="480" w:lineRule="auto"/>
        <w:jc w:val="both"/>
        <w:rPr>
          <w:rFonts w:ascii="Arial" w:eastAsiaTheme="minorEastAsia" w:hAnsi="Arial" w:cs="Arial"/>
          <w:sz w:val="24"/>
          <w:szCs w:val="24"/>
          <w:lang w:eastAsia="ja-JP"/>
        </w:rPr>
      </w:pPr>
      <w:r w:rsidRPr="009D4BEE">
        <w:rPr>
          <w:rFonts w:ascii="Arial" w:eastAsiaTheme="minorEastAsia" w:hAnsi="Arial" w:cs="Arial"/>
          <w:b/>
          <w:bCs/>
          <w:sz w:val="24"/>
          <w:szCs w:val="24"/>
          <w:lang w:eastAsia="ja-JP"/>
        </w:rPr>
        <w:lastRenderedPageBreak/>
        <w:t xml:space="preserve">Supplemental Figure </w:t>
      </w:r>
      <w:r w:rsidR="00DD237A">
        <w:rPr>
          <w:rFonts w:ascii="Arial" w:eastAsiaTheme="minorEastAsia" w:hAnsi="Arial" w:cs="Arial" w:hint="eastAsia"/>
          <w:b/>
          <w:bCs/>
          <w:sz w:val="24"/>
          <w:szCs w:val="24"/>
          <w:lang w:eastAsia="ja-JP"/>
        </w:rPr>
        <w:t>1</w:t>
      </w:r>
      <w:r w:rsidRPr="009D4BEE">
        <w:rPr>
          <w:rFonts w:ascii="Arial" w:eastAsiaTheme="minorEastAsia" w:hAnsi="Arial" w:cs="Arial"/>
          <w:b/>
          <w:bCs/>
          <w:sz w:val="24"/>
          <w:szCs w:val="24"/>
          <w:lang w:eastAsia="ja-JP"/>
        </w:rPr>
        <w:t xml:space="preserve">. NiV infection compromises neuronal, microglia/macrophage, glial, and BBB integrity. </w:t>
      </w:r>
      <w:r w:rsidRPr="008C1BC3">
        <w:rPr>
          <w:rFonts w:ascii="Arial" w:eastAsiaTheme="minorEastAsia" w:hAnsi="Arial" w:cs="Arial"/>
          <w:color w:val="000000" w:themeColor="text1"/>
          <w:sz w:val="24"/>
          <w:szCs w:val="24"/>
          <w:lang w:eastAsia="ja-JP"/>
        </w:rPr>
        <w:t xml:space="preserve">(A) </w:t>
      </w:r>
      <w:r w:rsidRPr="008C1BC3">
        <w:rPr>
          <w:rFonts w:ascii="Arial" w:eastAsiaTheme="minorEastAsia" w:hAnsi="Arial" w:cs="Arial"/>
          <w:sz w:val="24"/>
          <w:szCs w:val="24"/>
          <w:lang w:eastAsia="ja-JP"/>
        </w:rPr>
        <w:t>Representative confocal images of brains obtained from uninfected and NiV-infected animals. Focus on the D.G. Tissue sections were stained for nuclei (DAPI, blue staining), Nipah N protein (green staining), Iba-1 (a marker of microglia/macrophage, red staining), and MAP-2 (a neuronal marker, white staining) or GFAP and Laminin (red and white for C and D panels). (A) Representative staining and 3D reconstruction of uninfected brains in the D.G., denoting the lack of N protein, low numbers of microglia/macrophages, and abundan</w:t>
      </w:r>
      <w:r>
        <w:rPr>
          <w:rFonts w:ascii="Arial" w:eastAsiaTheme="minorEastAsia" w:hAnsi="Arial" w:cs="Arial"/>
          <w:sz w:val="24"/>
          <w:szCs w:val="24"/>
          <w:lang w:eastAsia="ja-JP"/>
        </w:rPr>
        <w:t>t expre</w:t>
      </w:r>
      <w:r w:rsidRPr="008C1BC3">
        <w:rPr>
          <w:rFonts w:ascii="Arial" w:eastAsiaTheme="minorEastAsia" w:hAnsi="Arial" w:cs="Arial"/>
          <w:sz w:val="24"/>
          <w:szCs w:val="24"/>
          <w:lang w:eastAsia="ja-JP"/>
        </w:rPr>
        <w:t xml:space="preserve">ssion of MAP-2 on neuronal bodies and processes. (B) Representative staining and 3D reconstruction of NiV-infected brains in the D.G.. Nipah expression was concentrated in neurons and microglia/macrophages. But also is evident the reduction in MAP-2 staining in the cell bodies and in the neuronal tracks. (C) Representative staining and 3D reconstruction of uninfected brains in the D.G., denoting the lack of N protein, low numbers of astrocytes, and organized laminin expression along the BBB. (D) Representative staining and 3D reconstruction of NiV-infected brains in the D.G.. Nipah expression was concentrated in GFAP and laminin-positive cells. Bar: 100 µm. Arrows denote neuronal processes or axons. </w:t>
      </w:r>
    </w:p>
    <w:p w14:paraId="51405F6D" w14:textId="77777777" w:rsidR="009D4BEE" w:rsidRPr="009D4BEE" w:rsidRDefault="009D4BEE" w:rsidP="009D4BEE">
      <w:pPr>
        <w:spacing w:line="480" w:lineRule="auto"/>
        <w:jc w:val="both"/>
        <w:rPr>
          <w:rFonts w:ascii="Arial" w:eastAsiaTheme="minorEastAsia" w:hAnsi="Arial" w:cs="Arial"/>
          <w:sz w:val="24"/>
          <w:szCs w:val="24"/>
          <w:lang w:eastAsia="ja-JP"/>
        </w:rPr>
      </w:pPr>
    </w:p>
    <w:p w14:paraId="18F5B3EE" w14:textId="3C9E8F68" w:rsidR="00A92690" w:rsidRDefault="00A92690">
      <w:pPr>
        <w:spacing w:after="160" w:line="278" w:lineRule="auto"/>
      </w:pPr>
      <w:r>
        <w:br w:type="page"/>
      </w:r>
    </w:p>
    <w:p w14:paraId="3B1FD8F1" w14:textId="2B4AAAD2" w:rsidR="00A92690" w:rsidRDefault="00A92690" w:rsidP="00A92690">
      <w:pPr>
        <w:spacing w:after="160" w:line="278" w:lineRule="auto"/>
      </w:pPr>
      <w:r>
        <w:rPr>
          <w:noProof/>
        </w:rPr>
        <w:lastRenderedPageBreak/>
        <w:drawing>
          <wp:inline distT="0" distB="0" distL="0" distR="0" wp14:anchorId="7849D347" wp14:editId="20059681">
            <wp:extent cx="6180139" cy="7428759"/>
            <wp:effectExtent l="0" t="0" r="0" b="1270"/>
            <wp:docPr id="6735556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85375" cy="7435053"/>
                    </a:xfrm>
                    <a:prstGeom prst="rect">
                      <a:avLst/>
                    </a:prstGeom>
                    <a:noFill/>
                  </pic:spPr>
                </pic:pic>
              </a:graphicData>
            </a:graphic>
          </wp:inline>
        </w:drawing>
      </w:r>
    </w:p>
    <w:p w14:paraId="5667283E" w14:textId="77777777" w:rsidR="00A92690" w:rsidRDefault="00A92690">
      <w:pPr>
        <w:spacing w:after="160" w:line="278" w:lineRule="auto"/>
      </w:pPr>
    </w:p>
    <w:p w14:paraId="1309FD34" w14:textId="77777777" w:rsidR="00A92690" w:rsidRDefault="00A92690">
      <w:pPr>
        <w:spacing w:after="160" w:line="278" w:lineRule="auto"/>
      </w:pPr>
    </w:p>
    <w:p w14:paraId="2A640CBB" w14:textId="3A976822" w:rsidR="00AA3711" w:rsidRDefault="00AA3711" w:rsidP="00AA3711">
      <w:pPr>
        <w:spacing w:line="480" w:lineRule="auto"/>
        <w:rPr>
          <w:rFonts w:ascii="Arial" w:eastAsiaTheme="minorEastAsia" w:hAnsi="Arial" w:cs="Arial"/>
          <w:b/>
          <w:bCs/>
          <w:sz w:val="24"/>
          <w:szCs w:val="24"/>
          <w:lang w:eastAsia="ja-JP"/>
        </w:rPr>
      </w:pPr>
      <w:r w:rsidRPr="009D4BEE">
        <w:rPr>
          <w:rFonts w:ascii="Arial" w:eastAsiaTheme="minorEastAsia" w:hAnsi="Arial" w:cs="Arial"/>
          <w:b/>
          <w:bCs/>
          <w:sz w:val="24"/>
          <w:szCs w:val="24"/>
          <w:lang w:eastAsia="ja-JP"/>
        </w:rPr>
        <w:lastRenderedPageBreak/>
        <w:t xml:space="preserve">Supplemental Figure </w:t>
      </w:r>
      <w:r>
        <w:rPr>
          <w:rFonts w:ascii="Arial" w:eastAsiaTheme="minorEastAsia" w:hAnsi="Arial" w:cs="Arial"/>
          <w:b/>
          <w:bCs/>
          <w:sz w:val="24"/>
          <w:szCs w:val="24"/>
          <w:lang w:eastAsia="ja-JP"/>
        </w:rPr>
        <w:t>2</w:t>
      </w:r>
      <w:r w:rsidRPr="009D4BEE">
        <w:rPr>
          <w:rFonts w:ascii="Arial" w:eastAsiaTheme="minorEastAsia" w:hAnsi="Arial" w:cs="Arial"/>
          <w:b/>
          <w:bCs/>
          <w:sz w:val="24"/>
          <w:szCs w:val="24"/>
          <w:lang w:eastAsia="ja-JP"/>
        </w:rPr>
        <w:t xml:space="preserve">. </w:t>
      </w:r>
      <w:r>
        <w:rPr>
          <w:rFonts w:ascii="Arial" w:eastAsiaTheme="minorEastAsia" w:hAnsi="Arial" w:cs="Arial"/>
          <w:b/>
          <w:bCs/>
          <w:sz w:val="24"/>
          <w:szCs w:val="24"/>
          <w:lang w:eastAsia="ja-JP"/>
        </w:rPr>
        <w:t xml:space="preserve">NSPARC microscopy identified that NiV infectivity of neurons and microglia is selective, resulting in a reduction in neuronal processes and microglia activation. </w:t>
      </w:r>
      <w:r w:rsidR="0029122B" w:rsidRPr="0029122B">
        <w:rPr>
          <w:rFonts w:ascii="Arial" w:eastAsiaTheme="minorEastAsia" w:hAnsi="Arial" w:cs="Arial"/>
          <w:sz w:val="24"/>
          <w:szCs w:val="24"/>
          <w:lang w:eastAsia="ja-JP"/>
        </w:rPr>
        <w:t>Re</w:t>
      </w:r>
      <w:r w:rsidR="0029122B">
        <w:rPr>
          <w:rFonts w:ascii="Arial" w:eastAsiaTheme="minorEastAsia" w:hAnsi="Arial" w:cs="Arial"/>
          <w:sz w:val="24"/>
          <w:szCs w:val="24"/>
          <w:lang w:eastAsia="ja-JP"/>
        </w:rPr>
        <w:t>presentative images of the tissues described in Figs. 2, 3, and 4, but reanalyzed by NSPARC microscopy. Denoting in control uninfected conditions, the lack of N protein staining (Nipah) with minimal microglia activation (Iba-1 staining) and long MAP-2 processes. The lower panel denote</w:t>
      </w:r>
      <w:r w:rsidR="00F42470">
        <w:rPr>
          <w:rFonts w:ascii="Arial" w:eastAsiaTheme="minorEastAsia" w:hAnsi="Arial" w:cs="Arial"/>
          <w:sz w:val="24"/>
          <w:szCs w:val="24"/>
          <w:lang w:eastAsia="ja-JP"/>
        </w:rPr>
        <w:t>s</w:t>
      </w:r>
      <w:r w:rsidR="0029122B">
        <w:rPr>
          <w:rFonts w:ascii="Arial" w:eastAsiaTheme="minorEastAsia" w:hAnsi="Arial" w:cs="Arial"/>
          <w:sz w:val="24"/>
          <w:szCs w:val="24"/>
          <w:lang w:eastAsia="ja-JP"/>
        </w:rPr>
        <w:t xml:space="preserve"> the </w:t>
      </w:r>
      <w:r w:rsidR="00F42470">
        <w:rPr>
          <w:rFonts w:ascii="Arial" w:eastAsiaTheme="minorEastAsia" w:hAnsi="Arial" w:cs="Arial"/>
          <w:sz w:val="24"/>
          <w:szCs w:val="24"/>
          <w:lang w:eastAsia="ja-JP"/>
        </w:rPr>
        <w:t xml:space="preserve">presence of Nipah staining (N protein) in microglia (Iba-1) and neuronal (MAP-2) cells. Also, it is possible to observe the microglia activation and the decrease in neuronal processes.  </w:t>
      </w:r>
      <w:r w:rsidR="00F42470" w:rsidRPr="008C1BC3">
        <w:rPr>
          <w:rFonts w:ascii="Arial" w:eastAsiaTheme="minorEastAsia" w:hAnsi="Arial" w:cs="Arial"/>
          <w:sz w:val="24"/>
          <w:szCs w:val="24"/>
          <w:lang w:eastAsia="ja-JP"/>
        </w:rPr>
        <w:t>Bar: 100 µm</w:t>
      </w:r>
      <w:r w:rsidR="00F42470">
        <w:rPr>
          <w:rFonts w:ascii="Arial" w:eastAsiaTheme="minorEastAsia" w:hAnsi="Arial" w:cs="Arial"/>
          <w:sz w:val="24"/>
          <w:szCs w:val="24"/>
          <w:lang w:eastAsia="ja-JP"/>
        </w:rPr>
        <w:t>.</w:t>
      </w:r>
    </w:p>
    <w:p w14:paraId="1FBB5851" w14:textId="77777777" w:rsidR="00AA3711" w:rsidRDefault="00AA3711" w:rsidP="00AA3711">
      <w:pPr>
        <w:spacing w:line="480" w:lineRule="auto"/>
        <w:rPr>
          <w:rFonts w:ascii="Arial" w:eastAsiaTheme="minorEastAsia" w:hAnsi="Arial" w:cs="Arial"/>
          <w:b/>
          <w:bCs/>
          <w:sz w:val="24"/>
          <w:szCs w:val="24"/>
          <w:lang w:eastAsia="ja-JP"/>
        </w:rPr>
      </w:pPr>
    </w:p>
    <w:p w14:paraId="29C5C4D0" w14:textId="77777777" w:rsidR="00A92690" w:rsidRDefault="00A92690" w:rsidP="00AA3711">
      <w:pPr>
        <w:spacing w:line="480" w:lineRule="auto"/>
      </w:pPr>
    </w:p>
    <w:p w14:paraId="0B4C07AF" w14:textId="77777777" w:rsidR="00A92690" w:rsidRDefault="00A92690" w:rsidP="00AA3711">
      <w:pPr>
        <w:spacing w:line="480" w:lineRule="auto"/>
      </w:pPr>
    </w:p>
    <w:p w14:paraId="75ED3708" w14:textId="77777777" w:rsidR="00A92690" w:rsidRDefault="00A92690" w:rsidP="00AA3711">
      <w:pPr>
        <w:spacing w:line="480" w:lineRule="auto"/>
      </w:pPr>
    </w:p>
    <w:p w14:paraId="4D533229" w14:textId="77777777" w:rsidR="00A92690" w:rsidRDefault="00A92690" w:rsidP="00AA3711">
      <w:pPr>
        <w:spacing w:line="480" w:lineRule="auto"/>
      </w:pPr>
    </w:p>
    <w:p w14:paraId="316A3834" w14:textId="38868BC9" w:rsidR="00A92690" w:rsidRDefault="00A92690" w:rsidP="00A92690">
      <w:pPr>
        <w:spacing w:after="160" w:line="278" w:lineRule="auto"/>
        <w:jc w:val="center"/>
      </w:pPr>
      <w:r>
        <w:rPr>
          <w:noProof/>
        </w:rPr>
        <w:lastRenderedPageBreak/>
        <w:drawing>
          <wp:inline distT="0" distB="0" distL="0" distR="0" wp14:anchorId="02F443B4" wp14:editId="444C2725">
            <wp:extent cx="5133340" cy="8437880"/>
            <wp:effectExtent l="0" t="0" r="0" b="1270"/>
            <wp:docPr id="3841854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3340" cy="8437880"/>
                    </a:xfrm>
                    <a:prstGeom prst="rect">
                      <a:avLst/>
                    </a:prstGeom>
                    <a:noFill/>
                  </pic:spPr>
                </pic:pic>
              </a:graphicData>
            </a:graphic>
          </wp:inline>
        </w:drawing>
      </w:r>
    </w:p>
    <w:p w14:paraId="0095F69B" w14:textId="406B66FE" w:rsidR="009A4263" w:rsidRDefault="009A4263" w:rsidP="00775455">
      <w:pPr>
        <w:spacing w:line="480" w:lineRule="auto"/>
        <w:rPr>
          <w:rFonts w:ascii="Arial" w:eastAsiaTheme="minorEastAsia" w:hAnsi="Arial" w:cs="Arial"/>
          <w:b/>
          <w:bCs/>
          <w:sz w:val="24"/>
          <w:szCs w:val="24"/>
          <w:lang w:eastAsia="ja-JP"/>
        </w:rPr>
      </w:pPr>
      <w:r w:rsidRPr="009D4BEE">
        <w:rPr>
          <w:rFonts w:ascii="Arial" w:eastAsiaTheme="minorEastAsia" w:hAnsi="Arial" w:cs="Arial"/>
          <w:b/>
          <w:bCs/>
          <w:sz w:val="24"/>
          <w:szCs w:val="24"/>
          <w:lang w:eastAsia="ja-JP"/>
        </w:rPr>
        <w:lastRenderedPageBreak/>
        <w:t xml:space="preserve">Supplemental Figure </w:t>
      </w:r>
      <w:r>
        <w:rPr>
          <w:rFonts w:ascii="Arial" w:eastAsiaTheme="minorEastAsia" w:hAnsi="Arial" w:cs="Arial"/>
          <w:b/>
          <w:bCs/>
          <w:sz w:val="24"/>
          <w:szCs w:val="24"/>
          <w:lang w:eastAsia="ja-JP"/>
        </w:rPr>
        <w:t>3</w:t>
      </w:r>
      <w:r w:rsidRPr="009D4BEE">
        <w:rPr>
          <w:rFonts w:ascii="Arial" w:eastAsiaTheme="minorEastAsia" w:hAnsi="Arial" w:cs="Arial"/>
          <w:b/>
          <w:bCs/>
          <w:sz w:val="24"/>
          <w:szCs w:val="24"/>
          <w:lang w:eastAsia="ja-JP"/>
        </w:rPr>
        <w:t xml:space="preserve">. </w:t>
      </w:r>
      <w:r>
        <w:rPr>
          <w:rFonts w:ascii="Arial" w:eastAsiaTheme="minorEastAsia" w:hAnsi="Arial" w:cs="Arial"/>
          <w:b/>
          <w:bCs/>
          <w:sz w:val="24"/>
          <w:szCs w:val="24"/>
          <w:lang w:eastAsia="ja-JP"/>
        </w:rPr>
        <w:t xml:space="preserve">NSPARC microscopy identified that NiV infectivity of </w:t>
      </w:r>
      <w:r w:rsidR="00276D86">
        <w:rPr>
          <w:rFonts w:ascii="Arial" w:eastAsiaTheme="minorEastAsia" w:hAnsi="Arial" w:cs="Arial"/>
          <w:b/>
          <w:bCs/>
          <w:sz w:val="24"/>
          <w:szCs w:val="24"/>
          <w:lang w:eastAsia="ja-JP"/>
        </w:rPr>
        <w:t>astrocytes and BBB cells</w:t>
      </w:r>
      <w:r>
        <w:rPr>
          <w:rFonts w:ascii="Arial" w:eastAsiaTheme="minorEastAsia" w:hAnsi="Arial" w:cs="Arial"/>
          <w:b/>
          <w:bCs/>
          <w:sz w:val="24"/>
          <w:szCs w:val="24"/>
          <w:lang w:eastAsia="ja-JP"/>
        </w:rPr>
        <w:t xml:space="preserve">, resulting in </w:t>
      </w:r>
      <w:r w:rsidR="00276D86">
        <w:rPr>
          <w:rFonts w:ascii="Arial" w:eastAsiaTheme="minorEastAsia" w:hAnsi="Arial" w:cs="Arial"/>
          <w:b/>
          <w:bCs/>
          <w:sz w:val="24"/>
          <w:szCs w:val="24"/>
          <w:lang w:eastAsia="ja-JP"/>
        </w:rPr>
        <w:t>gliosis and BBB compromise</w:t>
      </w:r>
      <w:r>
        <w:rPr>
          <w:rFonts w:ascii="Arial" w:eastAsiaTheme="minorEastAsia" w:hAnsi="Arial" w:cs="Arial"/>
          <w:b/>
          <w:bCs/>
          <w:sz w:val="24"/>
          <w:szCs w:val="24"/>
          <w:lang w:eastAsia="ja-JP"/>
        </w:rPr>
        <w:t xml:space="preserve">. </w:t>
      </w:r>
      <w:r w:rsidRPr="0029122B">
        <w:rPr>
          <w:rFonts w:ascii="Arial" w:eastAsiaTheme="minorEastAsia" w:hAnsi="Arial" w:cs="Arial"/>
          <w:sz w:val="24"/>
          <w:szCs w:val="24"/>
          <w:lang w:eastAsia="ja-JP"/>
        </w:rPr>
        <w:t>Re</w:t>
      </w:r>
      <w:r>
        <w:rPr>
          <w:rFonts w:ascii="Arial" w:eastAsiaTheme="minorEastAsia" w:hAnsi="Arial" w:cs="Arial"/>
          <w:sz w:val="24"/>
          <w:szCs w:val="24"/>
          <w:lang w:eastAsia="ja-JP"/>
        </w:rPr>
        <w:t>presentative images of the tissues described in Figs. 2, 3, and 4, but reanalyzed by NSPARC microscopy. Denoting in control uninfected conditions, the lack of N protein staining (Nipah)</w:t>
      </w:r>
      <w:r w:rsidR="00ED6CCB">
        <w:rPr>
          <w:rFonts w:ascii="Arial" w:eastAsiaTheme="minorEastAsia" w:hAnsi="Arial" w:cs="Arial"/>
          <w:sz w:val="24"/>
          <w:szCs w:val="24"/>
          <w:lang w:eastAsia="ja-JP"/>
        </w:rPr>
        <w:t xml:space="preserve">, </w:t>
      </w:r>
      <w:r w:rsidR="00EE465D">
        <w:rPr>
          <w:rFonts w:ascii="Arial" w:eastAsiaTheme="minorEastAsia" w:hAnsi="Arial" w:cs="Arial"/>
          <w:sz w:val="24"/>
          <w:szCs w:val="24"/>
          <w:lang w:eastAsia="ja-JP"/>
        </w:rPr>
        <w:t xml:space="preserve">and how GFAP-positive cells and laminin distribution surround the blood vessels. </w:t>
      </w:r>
      <w:r w:rsidR="00775455">
        <w:rPr>
          <w:rFonts w:ascii="Arial" w:eastAsiaTheme="minorEastAsia" w:hAnsi="Arial" w:cs="Arial"/>
          <w:sz w:val="24"/>
          <w:szCs w:val="24"/>
          <w:lang w:eastAsia="ja-JP"/>
        </w:rPr>
        <w:t>T</w:t>
      </w:r>
      <w:r>
        <w:rPr>
          <w:rFonts w:ascii="Arial" w:eastAsiaTheme="minorEastAsia" w:hAnsi="Arial" w:cs="Arial"/>
          <w:sz w:val="24"/>
          <w:szCs w:val="24"/>
          <w:lang w:eastAsia="ja-JP"/>
        </w:rPr>
        <w:t xml:space="preserve">he lower panel denotes the presence of Nipah staining (N protein) in </w:t>
      </w:r>
      <w:r w:rsidR="00775455">
        <w:rPr>
          <w:rFonts w:ascii="Arial" w:eastAsiaTheme="minorEastAsia" w:hAnsi="Arial" w:cs="Arial"/>
          <w:sz w:val="24"/>
          <w:szCs w:val="24"/>
          <w:lang w:eastAsia="ja-JP"/>
        </w:rPr>
        <w:t xml:space="preserve">astrocytes </w:t>
      </w:r>
      <w:r>
        <w:rPr>
          <w:rFonts w:ascii="Arial" w:eastAsiaTheme="minorEastAsia" w:hAnsi="Arial" w:cs="Arial"/>
          <w:sz w:val="24"/>
          <w:szCs w:val="24"/>
          <w:lang w:eastAsia="ja-JP"/>
        </w:rPr>
        <w:t>(</w:t>
      </w:r>
      <w:r w:rsidR="00775455">
        <w:rPr>
          <w:rFonts w:ascii="Arial" w:eastAsiaTheme="minorEastAsia" w:hAnsi="Arial" w:cs="Arial"/>
          <w:sz w:val="24"/>
          <w:szCs w:val="24"/>
          <w:lang w:eastAsia="ja-JP"/>
        </w:rPr>
        <w:t>GFAP</w:t>
      </w:r>
      <w:r>
        <w:rPr>
          <w:rFonts w:ascii="Arial" w:eastAsiaTheme="minorEastAsia" w:hAnsi="Arial" w:cs="Arial"/>
          <w:sz w:val="24"/>
          <w:szCs w:val="24"/>
          <w:lang w:eastAsia="ja-JP"/>
        </w:rPr>
        <w:t xml:space="preserve">) and </w:t>
      </w:r>
      <w:r w:rsidR="00775455">
        <w:rPr>
          <w:rFonts w:ascii="Arial" w:eastAsiaTheme="minorEastAsia" w:hAnsi="Arial" w:cs="Arial"/>
          <w:sz w:val="24"/>
          <w:szCs w:val="24"/>
          <w:lang w:eastAsia="ja-JP"/>
        </w:rPr>
        <w:t xml:space="preserve">BBB cells </w:t>
      </w:r>
      <w:r>
        <w:rPr>
          <w:rFonts w:ascii="Arial" w:eastAsiaTheme="minorEastAsia" w:hAnsi="Arial" w:cs="Arial"/>
          <w:sz w:val="24"/>
          <w:szCs w:val="24"/>
          <w:lang w:eastAsia="ja-JP"/>
        </w:rPr>
        <w:t>(</w:t>
      </w:r>
      <w:r w:rsidR="00775455">
        <w:rPr>
          <w:rFonts w:ascii="Arial" w:eastAsiaTheme="minorEastAsia" w:hAnsi="Arial" w:cs="Arial"/>
          <w:sz w:val="24"/>
          <w:szCs w:val="24"/>
          <w:lang w:eastAsia="ja-JP"/>
        </w:rPr>
        <w:t>laminin</w:t>
      </w:r>
      <w:r>
        <w:rPr>
          <w:rFonts w:ascii="Arial" w:eastAsiaTheme="minorEastAsia" w:hAnsi="Arial" w:cs="Arial"/>
          <w:sz w:val="24"/>
          <w:szCs w:val="24"/>
          <w:lang w:eastAsia="ja-JP"/>
        </w:rPr>
        <w:t xml:space="preserve">) </w:t>
      </w:r>
      <w:r w:rsidR="00775455">
        <w:rPr>
          <w:rFonts w:ascii="Arial" w:eastAsiaTheme="minorEastAsia" w:hAnsi="Arial" w:cs="Arial"/>
          <w:sz w:val="24"/>
          <w:szCs w:val="24"/>
          <w:lang w:eastAsia="ja-JP"/>
        </w:rPr>
        <w:t>in a high magnification blood vessel</w:t>
      </w:r>
      <w:r>
        <w:rPr>
          <w:rFonts w:ascii="Arial" w:eastAsiaTheme="minorEastAsia" w:hAnsi="Arial" w:cs="Arial"/>
          <w:sz w:val="24"/>
          <w:szCs w:val="24"/>
          <w:lang w:eastAsia="ja-JP"/>
        </w:rPr>
        <w:t xml:space="preserve">. </w:t>
      </w:r>
      <w:r w:rsidR="00775455">
        <w:rPr>
          <w:rFonts w:ascii="Arial" w:eastAsiaTheme="minorEastAsia" w:hAnsi="Arial" w:cs="Arial"/>
          <w:sz w:val="24"/>
          <w:szCs w:val="24"/>
          <w:lang w:eastAsia="ja-JP"/>
        </w:rPr>
        <w:t>I</w:t>
      </w:r>
      <w:r>
        <w:rPr>
          <w:rFonts w:ascii="Arial" w:eastAsiaTheme="minorEastAsia" w:hAnsi="Arial" w:cs="Arial"/>
          <w:sz w:val="24"/>
          <w:szCs w:val="24"/>
          <w:lang w:eastAsia="ja-JP"/>
        </w:rPr>
        <w:t xml:space="preserve">t is possible </w:t>
      </w:r>
      <w:r w:rsidR="008A7160">
        <w:rPr>
          <w:rFonts w:ascii="Arial" w:eastAsiaTheme="minorEastAsia" w:hAnsi="Arial" w:cs="Arial"/>
          <w:sz w:val="24"/>
          <w:szCs w:val="24"/>
          <w:lang w:eastAsia="ja-JP"/>
        </w:rPr>
        <w:t xml:space="preserve">to </w:t>
      </w:r>
      <w:r>
        <w:rPr>
          <w:rFonts w:ascii="Arial" w:eastAsiaTheme="minorEastAsia" w:hAnsi="Arial" w:cs="Arial"/>
          <w:sz w:val="24"/>
          <w:szCs w:val="24"/>
          <w:lang w:eastAsia="ja-JP"/>
        </w:rPr>
        <w:t xml:space="preserve">observe the </w:t>
      </w:r>
      <w:r w:rsidR="00775455">
        <w:rPr>
          <w:rFonts w:ascii="Arial" w:eastAsiaTheme="minorEastAsia" w:hAnsi="Arial" w:cs="Arial"/>
          <w:sz w:val="24"/>
          <w:szCs w:val="24"/>
          <w:lang w:eastAsia="ja-JP"/>
        </w:rPr>
        <w:t>wide distribution of NiV protein N within and around the BBB, suggesting BBB dysruption and the lack of laminin continuity, as well as gliosis.</w:t>
      </w:r>
      <w:r>
        <w:rPr>
          <w:rFonts w:ascii="Arial" w:eastAsiaTheme="minorEastAsia" w:hAnsi="Arial" w:cs="Arial"/>
          <w:sz w:val="24"/>
          <w:szCs w:val="24"/>
          <w:lang w:eastAsia="ja-JP"/>
        </w:rPr>
        <w:t xml:space="preserve">  </w:t>
      </w:r>
      <w:r w:rsidRPr="008C1BC3">
        <w:rPr>
          <w:rFonts w:ascii="Arial" w:eastAsiaTheme="minorEastAsia" w:hAnsi="Arial" w:cs="Arial"/>
          <w:sz w:val="24"/>
          <w:szCs w:val="24"/>
          <w:lang w:eastAsia="ja-JP"/>
        </w:rPr>
        <w:t xml:space="preserve">Bar: </w:t>
      </w:r>
      <w:r w:rsidR="00775455">
        <w:rPr>
          <w:rFonts w:ascii="Arial" w:eastAsiaTheme="minorEastAsia" w:hAnsi="Arial" w:cs="Arial"/>
          <w:sz w:val="24"/>
          <w:szCs w:val="24"/>
          <w:lang w:eastAsia="ja-JP"/>
        </w:rPr>
        <w:t>2</w:t>
      </w:r>
      <w:r w:rsidRPr="008C1BC3">
        <w:rPr>
          <w:rFonts w:ascii="Arial" w:eastAsiaTheme="minorEastAsia" w:hAnsi="Arial" w:cs="Arial"/>
          <w:sz w:val="24"/>
          <w:szCs w:val="24"/>
          <w:lang w:eastAsia="ja-JP"/>
        </w:rPr>
        <w:t>0 µm</w:t>
      </w:r>
      <w:r>
        <w:rPr>
          <w:rFonts w:ascii="Arial" w:eastAsiaTheme="minorEastAsia" w:hAnsi="Arial" w:cs="Arial"/>
          <w:sz w:val="24"/>
          <w:szCs w:val="24"/>
          <w:lang w:eastAsia="ja-JP"/>
        </w:rPr>
        <w:t>.</w:t>
      </w:r>
    </w:p>
    <w:p w14:paraId="1093E1D3" w14:textId="77777777" w:rsidR="00A92690" w:rsidRDefault="00A92690">
      <w:pPr>
        <w:spacing w:after="160" w:line="278" w:lineRule="auto"/>
      </w:pPr>
    </w:p>
    <w:p w14:paraId="2125646B" w14:textId="77777777" w:rsidR="00A92690" w:rsidRDefault="00A92690">
      <w:pPr>
        <w:spacing w:after="160" w:line="278" w:lineRule="auto"/>
      </w:pPr>
    </w:p>
    <w:p w14:paraId="7971DC18" w14:textId="6BCBDF13" w:rsidR="00A7005E" w:rsidRDefault="00A7005E">
      <w:pPr>
        <w:spacing w:after="160" w:line="278" w:lineRule="auto"/>
      </w:pPr>
      <w:r>
        <w:br w:type="page"/>
      </w:r>
    </w:p>
    <w:p w14:paraId="3040EF66" w14:textId="06101C1E" w:rsidR="00A7005E" w:rsidRDefault="00A7005E">
      <w:pPr>
        <w:spacing w:after="160" w:line="278" w:lineRule="auto"/>
        <w:rPr>
          <w:noProof/>
        </w:rPr>
      </w:pPr>
      <w:r>
        <w:rPr>
          <w:noProof/>
        </w:rPr>
        <w:lastRenderedPageBreak/>
        <w:drawing>
          <wp:inline distT="0" distB="0" distL="0" distR="0" wp14:anchorId="33136E2F" wp14:editId="5F655FF3">
            <wp:extent cx="5943600" cy="5661017"/>
            <wp:effectExtent l="0" t="0" r="0" b="0"/>
            <wp:docPr id="1134109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5661017"/>
                    </a:xfrm>
                    <a:prstGeom prst="rect">
                      <a:avLst/>
                    </a:prstGeom>
                    <a:noFill/>
                  </pic:spPr>
                </pic:pic>
              </a:graphicData>
            </a:graphic>
          </wp:inline>
        </w:drawing>
      </w:r>
    </w:p>
    <w:p w14:paraId="585DDF59" w14:textId="77777777" w:rsidR="00A7005E" w:rsidRPr="00A7005E" w:rsidRDefault="00A7005E" w:rsidP="00A7005E">
      <w:pPr>
        <w:spacing w:after="160" w:line="480" w:lineRule="auto"/>
        <w:rPr>
          <w:rFonts w:ascii="Arial" w:hAnsi="Arial" w:cs="Arial"/>
          <w:noProof/>
          <w:sz w:val="24"/>
          <w:szCs w:val="24"/>
        </w:rPr>
      </w:pPr>
    </w:p>
    <w:p w14:paraId="685CE1CC" w14:textId="7C4FD3BB" w:rsidR="00A7005E" w:rsidRDefault="00A7005E" w:rsidP="00A7005E">
      <w:pPr>
        <w:spacing w:after="160" w:line="480" w:lineRule="auto"/>
        <w:rPr>
          <w:rFonts w:ascii="Arial" w:eastAsiaTheme="minorEastAsia" w:hAnsi="Arial" w:cs="Arial"/>
          <w:b/>
          <w:bCs/>
          <w:sz w:val="24"/>
          <w:szCs w:val="24"/>
          <w:lang w:eastAsia="ja-JP"/>
        </w:rPr>
      </w:pPr>
      <w:r w:rsidRPr="00A7005E">
        <w:rPr>
          <w:rFonts w:ascii="Arial" w:hAnsi="Arial" w:cs="Arial"/>
          <w:b/>
          <w:bCs/>
          <w:noProof/>
          <w:sz w:val="24"/>
          <w:szCs w:val="24"/>
        </w:rPr>
        <w:t>Supplemental Figure 4</w:t>
      </w:r>
      <w:r w:rsidRPr="00A7005E">
        <w:rPr>
          <w:rFonts w:ascii="Arial" w:hAnsi="Arial" w:cs="Arial"/>
          <w:noProof/>
          <w:sz w:val="24"/>
          <w:szCs w:val="24"/>
        </w:rPr>
        <w:t xml:space="preserve">: </w:t>
      </w:r>
      <w:r>
        <w:rPr>
          <w:rFonts w:ascii="Arial" w:hAnsi="Arial" w:cs="Arial"/>
          <w:noProof/>
          <w:sz w:val="24"/>
          <w:szCs w:val="24"/>
        </w:rPr>
        <w:t>Amplification of NiV-induced lesions</w:t>
      </w:r>
      <w:r>
        <w:rPr>
          <w:rFonts w:ascii="Arial" w:eastAsiaTheme="minorEastAsia" w:hAnsi="Arial" w:cs="Arial"/>
          <w:b/>
          <w:bCs/>
          <w:sz w:val="24"/>
          <w:szCs w:val="24"/>
          <w:lang w:eastAsia="ja-JP"/>
        </w:rPr>
        <w:t xml:space="preserve">. </w:t>
      </w:r>
      <w:r w:rsidRPr="0029122B">
        <w:rPr>
          <w:rFonts w:ascii="Arial" w:eastAsiaTheme="minorEastAsia" w:hAnsi="Arial" w:cs="Arial"/>
          <w:sz w:val="24"/>
          <w:szCs w:val="24"/>
          <w:lang w:eastAsia="ja-JP"/>
        </w:rPr>
        <w:t>Re</w:t>
      </w:r>
      <w:r>
        <w:rPr>
          <w:rFonts w:ascii="Arial" w:eastAsiaTheme="minorEastAsia" w:hAnsi="Arial" w:cs="Arial"/>
          <w:sz w:val="24"/>
          <w:szCs w:val="24"/>
          <w:lang w:eastAsia="ja-JP"/>
        </w:rPr>
        <w:t>presentative</w:t>
      </w:r>
      <w:r>
        <w:rPr>
          <w:rFonts w:ascii="Arial" w:eastAsiaTheme="minorEastAsia" w:hAnsi="Arial" w:cs="Arial"/>
          <w:sz w:val="24"/>
          <w:szCs w:val="24"/>
          <w:lang w:eastAsia="ja-JP"/>
        </w:rPr>
        <w:t xml:space="preserve"> 3D reconstructions of NiV-induced brain lesions</w:t>
      </w:r>
      <w:r>
        <w:rPr>
          <w:rFonts w:ascii="Arial" w:eastAsiaTheme="minorEastAsia" w:hAnsi="Arial" w:cs="Arial"/>
          <w:sz w:val="24"/>
          <w:szCs w:val="24"/>
          <w:lang w:eastAsia="ja-JP"/>
        </w:rPr>
        <w:t xml:space="preserve">. </w:t>
      </w:r>
      <w:r>
        <w:rPr>
          <w:rFonts w:ascii="Arial" w:eastAsiaTheme="minorEastAsia" w:hAnsi="Arial" w:cs="Arial"/>
          <w:sz w:val="24"/>
          <w:szCs w:val="24"/>
          <w:lang w:eastAsia="ja-JP"/>
        </w:rPr>
        <w:t>Staining for Nuclei (DAPI), NiV (Green), GFAP (red), and laminin (white) denoting two different kinds of lesions in the brain. Large sections with significant astrocyte proliferation around the lesion and endothelial compromise. The panel below corresponds to the BBB and the astrocyte gliosis around it. Arrows denote the lesions and rectangles the area amplified in the left size—b</w:t>
      </w:r>
      <w:r w:rsidRPr="008C1BC3">
        <w:rPr>
          <w:rFonts w:ascii="Arial" w:eastAsiaTheme="minorEastAsia" w:hAnsi="Arial" w:cs="Arial"/>
          <w:sz w:val="24"/>
          <w:szCs w:val="24"/>
          <w:lang w:eastAsia="ja-JP"/>
        </w:rPr>
        <w:t>ar</w:t>
      </w:r>
      <w:r>
        <w:rPr>
          <w:rFonts w:ascii="Arial" w:eastAsiaTheme="minorEastAsia" w:hAnsi="Arial" w:cs="Arial"/>
          <w:sz w:val="24"/>
          <w:szCs w:val="24"/>
          <w:lang w:eastAsia="ja-JP"/>
        </w:rPr>
        <w:t>s</w:t>
      </w:r>
      <w:r w:rsidRPr="008C1BC3">
        <w:rPr>
          <w:rFonts w:ascii="Arial" w:eastAsiaTheme="minorEastAsia" w:hAnsi="Arial" w:cs="Arial"/>
          <w:sz w:val="24"/>
          <w:szCs w:val="24"/>
          <w:lang w:eastAsia="ja-JP"/>
        </w:rPr>
        <w:t xml:space="preserve">: </w:t>
      </w:r>
      <w:r>
        <w:rPr>
          <w:rFonts w:ascii="Arial" w:eastAsiaTheme="minorEastAsia" w:hAnsi="Arial" w:cs="Arial"/>
          <w:sz w:val="24"/>
          <w:szCs w:val="24"/>
          <w:lang w:eastAsia="ja-JP"/>
        </w:rPr>
        <w:lastRenderedPageBreak/>
        <w:t xml:space="preserve">130 or 30 </w:t>
      </w:r>
      <w:r w:rsidRPr="008C1BC3">
        <w:rPr>
          <w:rFonts w:ascii="Arial" w:eastAsiaTheme="minorEastAsia" w:hAnsi="Arial" w:cs="Arial"/>
          <w:sz w:val="24"/>
          <w:szCs w:val="24"/>
          <w:lang w:eastAsia="ja-JP"/>
        </w:rPr>
        <w:t>µ</w:t>
      </w:r>
      <w:r>
        <w:rPr>
          <w:rFonts w:ascii="Arial" w:eastAsiaTheme="minorEastAsia" w:hAnsi="Arial" w:cs="Arial"/>
          <w:sz w:val="24"/>
          <w:szCs w:val="24"/>
          <w:lang w:eastAsia="ja-JP"/>
        </w:rPr>
        <w:t xml:space="preserve">m.  Lesions were observed in all 10 infected animals, and no detction of lesions were detected in uninfected animals. </w:t>
      </w:r>
    </w:p>
    <w:p w14:paraId="274273B7" w14:textId="77777777" w:rsidR="00A7005E" w:rsidRPr="00A7005E" w:rsidRDefault="00A7005E">
      <w:pPr>
        <w:spacing w:after="160" w:line="278" w:lineRule="auto"/>
        <w:rPr>
          <w:rFonts w:ascii="Arial" w:hAnsi="Arial" w:cs="Arial"/>
          <w:noProof/>
          <w:sz w:val="24"/>
          <w:szCs w:val="24"/>
        </w:rPr>
      </w:pPr>
    </w:p>
    <w:p w14:paraId="329AFFF5" w14:textId="77777777" w:rsidR="00A7005E" w:rsidRPr="00A7005E" w:rsidRDefault="00A7005E">
      <w:pPr>
        <w:spacing w:after="160" w:line="278" w:lineRule="auto"/>
        <w:rPr>
          <w:rFonts w:ascii="Arial" w:hAnsi="Arial" w:cs="Arial"/>
          <w:noProof/>
          <w:sz w:val="24"/>
          <w:szCs w:val="24"/>
        </w:rPr>
      </w:pPr>
    </w:p>
    <w:p w14:paraId="45D0E4A4" w14:textId="77777777" w:rsidR="00A7005E" w:rsidRDefault="00A7005E">
      <w:pPr>
        <w:spacing w:after="160" w:line="278" w:lineRule="auto"/>
        <w:rPr>
          <w:noProof/>
        </w:rPr>
      </w:pPr>
    </w:p>
    <w:p w14:paraId="0739C854" w14:textId="1D0FCBAC" w:rsidR="00A92690" w:rsidRDefault="00A92690">
      <w:pPr>
        <w:spacing w:after="160" w:line="278" w:lineRule="auto"/>
      </w:pPr>
    </w:p>
    <w:sectPr w:rsidR="00A9269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2C3BB" w14:textId="77777777" w:rsidR="00C9775B" w:rsidRDefault="00C9775B" w:rsidP="00DD237A">
      <w:r>
        <w:separator/>
      </w:r>
    </w:p>
  </w:endnote>
  <w:endnote w:type="continuationSeparator" w:id="0">
    <w:p w14:paraId="3B589CA3" w14:textId="77777777" w:rsidR="00C9775B" w:rsidRDefault="00C9775B" w:rsidP="00DD2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13783" w14:textId="77777777" w:rsidR="003516E0" w:rsidRDefault="003516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1746601"/>
      <w:docPartObj>
        <w:docPartGallery w:val="Page Numbers (Bottom of Page)"/>
        <w:docPartUnique/>
      </w:docPartObj>
    </w:sdtPr>
    <w:sdtEndPr>
      <w:rPr>
        <w:noProof/>
      </w:rPr>
    </w:sdtEndPr>
    <w:sdtContent>
      <w:p w14:paraId="4EE82789" w14:textId="5B29A073" w:rsidR="003516E0" w:rsidRDefault="003516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B465A40" w14:textId="77777777" w:rsidR="003516E0" w:rsidRDefault="003516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1D86A" w14:textId="77777777" w:rsidR="003516E0" w:rsidRDefault="003516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D941A" w14:textId="77777777" w:rsidR="00C9775B" w:rsidRDefault="00C9775B" w:rsidP="00DD237A">
      <w:r>
        <w:separator/>
      </w:r>
    </w:p>
  </w:footnote>
  <w:footnote w:type="continuationSeparator" w:id="0">
    <w:p w14:paraId="3C020C68" w14:textId="77777777" w:rsidR="00C9775B" w:rsidRDefault="00C9775B" w:rsidP="00DD23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A9575" w14:textId="77777777" w:rsidR="003516E0" w:rsidRDefault="003516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A3E92" w14:textId="77777777" w:rsidR="003516E0" w:rsidRDefault="003516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714D6" w14:textId="77777777" w:rsidR="003516E0" w:rsidRDefault="003516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6"/>
  <w:bordersDoNotSurroundHeader/>
  <w:bordersDoNotSurroundFooter/>
  <w:hideSpellingErrors/>
  <w:hideGrammaticalErrors/>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Le0MDe2NDMwNDMxtjBW0lEKTi0uzszPAykwrgUArfrRmiwAAAA="/>
  </w:docVars>
  <w:rsids>
    <w:rsidRoot w:val="009D4BEE"/>
    <w:rsid w:val="00040AA2"/>
    <w:rsid w:val="00276D86"/>
    <w:rsid w:val="0029122B"/>
    <w:rsid w:val="003516E0"/>
    <w:rsid w:val="003E4229"/>
    <w:rsid w:val="00422AFA"/>
    <w:rsid w:val="005A3AD9"/>
    <w:rsid w:val="006F069A"/>
    <w:rsid w:val="00775455"/>
    <w:rsid w:val="008A7160"/>
    <w:rsid w:val="008A7CA5"/>
    <w:rsid w:val="009A4263"/>
    <w:rsid w:val="009D4BEE"/>
    <w:rsid w:val="00A7005E"/>
    <w:rsid w:val="00A92690"/>
    <w:rsid w:val="00AA3711"/>
    <w:rsid w:val="00B62390"/>
    <w:rsid w:val="00C054F1"/>
    <w:rsid w:val="00C9775B"/>
    <w:rsid w:val="00DD237A"/>
    <w:rsid w:val="00E97F02"/>
    <w:rsid w:val="00ED6CCB"/>
    <w:rsid w:val="00EE465D"/>
    <w:rsid w:val="00F42470"/>
    <w:rsid w:val="00F875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12C1DA"/>
  <w15:chartTrackingRefBased/>
  <w15:docId w15:val="{8BE635BF-CEEF-43E9-8C98-FF74DB943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BEE"/>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9D4BE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D4BE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D4BE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4BE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D4BE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D4BE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D4BE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D4BEE"/>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D4BEE"/>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4B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4B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4B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4B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4B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4B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4B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4B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4BEE"/>
    <w:rPr>
      <w:rFonts w:eastAsiaTheme="majorEastAsia" w:cstheme="majorBidi"/>
      <w:color w:val="272727" w:themeColor="text1" w:themeTint="D8"/>
    </w:rPr>
  </w:style>
  <w:style w:type="paragraph" w:styleId="Title">
    <w:name w:val="Title"/>
    <w:basedOn w:val="Normal"/>
    <w:next w:val="Normal"/>
    <w:link w:val="TitleChar"/>
    <w:uiPriority w:val="10"/>
    <w:qFormat/>
    <w:rsid w:val="009D4BE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4B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4BE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4B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4BEE"/>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D4BEE"/>
    <w:rPr>
      <w:i/>
      <w:iCs/>
      <w:color w:val="404040" w:themeColor="text1" w:themeTint="BF"/>
    </w:rPr>
  </w:style>
  <w:style w:type="paragraph" w:styleId="ListParagraph">
    <w:name w:val="List Paragraph"/>
    <w:basedOn w:val="Normal"/>
    <w:uiPriority w:val="34"/>
    <w:qFormat/>
    <w:rsid w:val="009D4BEE"/>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9D4BEE"/>
    <w:rPr>
      <w:i/>
      <w:iCs/>
      <w:color w:val="0F4761" w:themeColor="accent1" w:themeShade="BF"/>
    </w:rPr>
  </w:style>
  <w:style w:type="paragraph" w:styleId="IntenseQuote">
    <w:name w:val="Intense Quote"/>
    <w:basedOn w:val="Normal"/>
    <w:next w:val="Normal"/>
    <w:link w:val="IntenseQuoteChar"/>
    <w:uiPriority w:val="30"/>
    <w:qFormat/>
    <w:rsid w:val="009D4BE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D4BEE"/>
    <w:rPr>
      <w:i/>
      <w:iCs/>
      <w:color w:val="0F4761" w:themeColor="accent1" w:themeShade="BF"/>
    </w:rPr>
  </w:style>
  <w:style w:type="character" w:styleId="IntenseReference">
    <w:name w:val="Intense Reference"/>
    <w:basedOn w:val="DefaultParagraphFont"/>
    <w:uiPriority w:val="32"/>
    <w:qFormat/>
    <w:rsid w:val="009D4BEE"/>
    <w:rPr>
      <w:b/>
      <w:bCs/>
      <w:smallCaps/>
      <w:color w:val="0F4761" w:themeColor="accent1" w:themeShade="BF"/>
      <w:spacing w:val="5"/>
    </w:rPr>
  </w:style>
  <w:style w:type="paragraph" w:styleId="Header">
    <w:name w:val="header"/>
    <w:basedOn w:val="Normal"/>
    <w:link w:val="HeaderChar"/>
    <w:uiPriority w:val="99"/>
    <w:unhideWhenUsed/>
    <w:rsid w:val="00DD237A"/>
    <w:pPr>
      <w:tabs>
        <w:tab w:val="center" w:pos="4252"/>
        <w:tab w:val="right" w:pos="8504"/>
      </w:tabs>
      <w:snapToGrid w:val="0"/>
    </w:pPr>
  </w:style>
  <w:style w:type="character" w:customStyle="1" w:styleId="HeaderChar">
    <w:name w:val="Header Char"/>
    <w:basedOn w:val="DefaultParagraphFont"/>
    <w:link w:val="Header"/>
    <w:uiPriority w:val="99"/>
    <w:rsid w:val="00DD237A"/>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DD237A"/>
    <w:pPr>
      <w:tabs>
        <w:tab w:val="center" w:pos="4252"/>
        <w:tab w:val="right" w:pos="8504"/>
      </w:tabs>
      <w:snapToGrid w:val="0"/>
    </w:pPr>
  </w:style>
  <w:style w:type="character" w:customStyle="1" w:styleId="FooterChar">
    <w:name w:val="Footer Char"/>
    <w:basedOn w:val="DefaultParagraphFont"/>
    <w:link w:val="Footer"/>
    <w:uiPriority w:val="99"/>
    <w:rsid w:val="00DD237A"/>
    <w:rPr>
      <w:rFonts w:ascii="Times New Roman" w:eastAsia="Times New Roman" w:hAnsi="Times New Roman" w:cs="Times New Roman"/>
      <w:kern w:val="0"/>
      <w:sz w:val="20"/>
      <w:szCs w:val="20"/>
      <w14:ligatures w14:val="none"/>
    </w:rPr>
  </w:style>
  <w:style w:type="paragraph" w:styleId="Revision">
    <w:name w:val="Revision"/>
    <w:hidden/>
    <w:uiPriority w:val="99"/>
    <w:semiHidden/>
    <w:rsid w:val="00DD237A"/>
    <w:pPr>
      <w:spacing w:after="0" w:line="240" w:lineRule="auto"/>
    </w:pPr>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8</Pages>
  <Words>518</Words>
  <Characters>2959</Characters>
  <Application>Microsoft Office Word</Application>
  <DocSecurity>0</DocSecurity>
  <Lines>24</Lines>
  <Paragraphs>6</Paragraphs>
  <ScaleCrop>false</ScaleCrop>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Eugenin, Eliseo</dc:creator>
  <cp:keywords/>
  <dc:description/>
  <cp:lastModifiedBy>Eugenin, Eliseo</cp:lastModifiedBy>
  <cp:revision>16</cp:revision>
  <dcterms:created xsi:type="dcterms:W3CDTF">2026-03-14T18:43:00Z</dcterms:created>
  <dcterms:modified xsi:type="dcterms:W3CDTF">2026-05-28T23:20:00Z</dcterms:modified>
</cp:coreProperties>
</file>