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46" w:rsidRDefault="000A1B8D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Supplementary file of figures an</w:t>
      </w:r>
      <w:bookmarkStart w:id="0" w:name="_GoBack"/>
      <w:bookmarkEnd w:id="0"/>
      <w:r w:rsidR="00311646">
        <w:rPr>
          <w:rFonts w:ascii="Times New Roman" w:eastAsia="Times New Roman" w:hAnsi="Times New Roman" w:cs="Times New Roman"/>
          <w:noProof/>
          <w:sz w:val="24"/>
          <w:szCs w:val="24"/>
        </w:rPr>
        <w:t>d tables</w:t>
      </w:r>
    </w:p>
    <w:p w:rsidR="00311646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311646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311646" w:rsidRPr="00652B69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6D1069C" wp14:editId="1BF73437">
            <wp:extent cx="5760719" cy="6495721"/>
            <wp:effectExtent l="0" t="0" r="0" b="63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19" cy="649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46" w:rsidRPr="00331FB1" w:rsidRDefault="00311646" w:rsidP="00311646">
      <w:pPr>
        <w:spacing w:line="480" w:lineRule="auto"/>
        <w:jc w:val="both"/>
      </w:pPr>
      <w:r>
        <w:rPr>
          <w:b/>
        </w:rPr>
        <w:lastRenderedPageBreak/>
        <w:t>Figure S1. Cyclic DSS treatment induces chronic colitis and systemic inflammation in C57BL/6J mice. A</w:t>
      </w:r>
      <w:r>
        <w:t xml:space="preserve"> Timeline of colitis induction in male and female C57BL/6J mice aged 20 weeks at the start of the experiment. </w:t>
      </w:r>
      <w:r>
        <w:rPr>
          <w:b/>
        </w:rPr>
        <w:t>B</w:t>
      </w:r>
      <w:r>
        <w:t xml:space="preserve"> Representative </w:t>
      </w:r>
      <w:proofErr w:type="gramStart"/>
      <w:r>
        <w:t>colonoscopy</w:t>
      </w:r>
      <w:proofErr w:type="gramEnd"/>
      <w:r>
        <w:t xml:space="preserve"> images. </w:t>
      </w:r>
      <w:r>
        <w:rPr>
          <w:b/>
          <w:bCs/>
        </w:rPr>
        <w:t>C</w:t>
      </w:r>
      <w:r>
        <w:t xml:space="preserve"> Colonoscopy scores, mixed sex </w:t>
      </w:r>
      <w:bookmarkStart w:id="1" w:name="OLE_LINK2"/>
      <w:r>
        <w:t>(</w:t>
      </w:r>
      <w:bookmarkStart w:id="2" w:name="OLE_LINK4"/>
      <w:r>
        <w:rPr>
          <w:i/>
        </w:rPr>
        <w:t>n</w:t>
      </w:r>
      <w:r>
        <w:t xml:space="preserve"> = 32-33 mice per group; pooled of four independent experiments</w:t>
      </w:r>
      <w:bookmarkEnd w:id="2"/>
      <w:r>
        <w:t>)</w:t>
      </w:r>
      <w:bookmarkEnd w:id="1"/>
      <w:r>
        <w:t xml:space="preserve">. </w:t>
      </w:r>
      <w:r>
        <w:rPr>
          <w:b/>
          <w:bCs/>
        </w:rPr>
        <w:t>D</w:t>
      </w:r>
      <w:r>
        <w:t xml:space="preserve"> Colonoscopy scores, split by sex (</w:t>
      </w:r>
      <w:r>
        <w:rPr>
          <w:i/>
        </w:rPr>
        <w:t>n</w:t>
      </w:r>
      <w:r>
        <w:t xml:space="preserve"> = 12-20 mice per group; Control: 20 male, 12 female, </w:t>
      </w:r>
      <w:proofErr w:type="spellStart"/>
      <w:r>
        <w:t>cDSS</w:t>
      </w:r>
      <w:proofErr w:type="spellEnd"/>
      <w:r>
        <w:t xml:space="preserve">: 19 male, 14 female; pooled of four independent experiments; Two-way ANOVA with Tukey’s multiple comparisons test). </w:t>
      </w:r>
      <w:r>
        <w:rPr>
          <w:b/>
        </w:rPr>
        <w:t>E</w:t>
      </w:r>
      <w:r>
        <w:t xml:space="preserve"> Colon length post dissection, mixed sex </w:t>
      </w:r>
      <w:bookmarkStart w:id="3" w:name="OLE_LINK3"/>
      <w:r>
        <w:t>(</w:t>
      </w:r>
      <w:r>
        <w:rPr>
          <w:i/>
        </w:rPr>
        <w:t>n</w:t>
      </w:r>
      <w:r>
        <w:t xml:space="preserve"> = 32-34 mice per group; pooled of four independent experiments). </w:t>
      </w:r>
      <w:bookmarkEnd w:id="3"/>
      <w:r>
        <w:rPr>
          <w:b/>
          <w:bCs/>
        </w:rPr>
        <w:t>F</w:t>
      </w:r>
      <w:r>
        <w:t xml:space="preserve"> Colon length post dissection, split by sex (</w:t>
      </w:r>
      <w:r>
        <w:rPr>
          <w:i/>
        </w:rPr>
        <w:t>n</w:t>
      </w:r>
      <w:r>
        <w:t xml:space="preserve"> = 12-20 mice per group; Control: 20 male, 12 female, </w:t>
      </w:r>
      <w:proofErr w:type="spellStart"/>
      <w:r>
        <w:t>cDSS</w:t>
      </w:r>
      <w:proofErr w:type="spellEnd"/>
      <w:r>
        <w:t xml:space="preserve">: 20 male, 14 female; pooled of four independent experiments; Two-way ANOVA with Tukey’s multiple comparisons test). </w:t>
      </w:r>
      <w:r>
        <w:rPr>
          <w:b/>
        </w:rPr>
        <w:t>G</w:t>
      </w:r>
      <w:r>
        <w:t xml:space="preserve"> Expression of the inflammation-associated genes </w:t>
      </w:r>
      <w:r>
        <w:rPr>
          <w:i/>
        </w:rPr>
        <w:t>Il1b</w:t>
      </w:r>
      <w:r>
        <w:t xml:space="preserve">, </w:t>
      </w:r>
      <w:r>
        <w:rPr>
          <w:i/>
        </w:rPr>
        <w:t>Cxcl13</w:t>
      </w:r>
      <w:r>
        <w:t xml:space="preserve">, and </w:t>
      </w:r>
      <w:proofErr w:type="spellStart"/>
      <w:r>
        <w:rPr>
          <w:i/>
        </w:rPr>
        <w:t>Tnf</w:t>
      </w:r>
      <w:proofErr w:type="spellEnd"/>
      <w:r>
        <w:t xml:space="preserve"> in the colon and small intestine, mixed sex (</w:t>
      </w:r>
      <w:r>
        <w:rPr>
          <w:i/>
        </w:rPr>
        <w:t>n</w:t>
      </w:r>
      <w:r>
        <w:t xml:space="preserve"> = 10-11 mice per group; multiple unpaired</w:t>
      </w:r>
      <w:r>
        <w:rPr>
          <w:i/>
        </w:rPr>
        <w:t xml:space="preserve"> t</w:t>
      </w:r>
      <w:r>
        <w:t xml:space="preserve">-tests). </w:t>
      </w:r>
      <w:r>
        <w:rPr>
          <w:b/>
          <w:bCs/>
        </w:rPr>
        <w:t>H</w:t>
      </w:r>
      <w:r>
        <w:t xml:space="preserve"> Expression of the inflammation-associated genes </w:t>
      </w:r>
      <w:r>
        <w:rPr>
          <w:i/>
        </w:rPr>
        <w:t>Il1b</w:t>
      </w:r>
      <w:r>
        <w:t xml:space="preserve">, </w:t>
      </w:r>
      <w:r>
        <w:rPr>
          <w:i/>
        </w:rPr>
        <w:t>Cxcl13</w:t>
      </w:r>
      <w:r>
        <w:t xml:space="preserve">, and </w:t>
      </w:r>
      <w:proofErr w:type="spellStart"/>
      <w:r>
        <w:rPr>
          <w:i/>
        </w:rPr>
        <w:t>Tnf</w:t>
      </w:r>
      <w:proofErr w:type="spellEnd"/>
      <w:r>
        <w:t xml:space="preserve"> in the colon and small intestine, split by sex (</w:t>
      </w:r>
      <w:r>
        <w:rPr>
          <w:i/>
        </w:rPr>
        <w:t>n</w:t>
      </w:r>
      <w:r>
        <w:t xml:space="preserve"> = 4-6 mice per group; Control: 6 male, 4 female, </w:t>
      </w:r>
      <w:proofErr w:type="spellStart"/>
      <w:r>
        <w:t>cDSS</w:t>
      </w:r>
      <w:proofErr w:type="spellEnd"/>
      <w:r>
        <w:t xml:space="preserve">: 6 male, 5 female; Two-way ANOVA with Tukey’s multiple comparisons test). </w:t>
      </w:r>
      <w:r>
        <w:rPr>
          <w:b/>
        </w:rPr>
        <w:t xml:space="preserve">I </w:t>
      </w:r>
      <w:r>
        <w:t>Spleen length, mixed sex (</w:t>
      </w:r>
      <w:r>
        <w:rPr>
          <w:i/>
        </w:rPr>
        <w:t>n</w:t>
      </w:r>
      <w:r>
        <w:t xml:space="preserve"> = 29-31 mice per group; pooled of four independent experiments). </w:t>
      </w:r>
      <w:r>
        <w:rPr>
          <w:b/>
        </w:rPr>
        <w:t xml:space="preserve">J </w:t>
      </w:r>
      <w:r>
        <w:t>Spleen length, split by sex (</w:t>
      </w:r>
      <w:r>
        <w:rPr>
          <w:i/>
        </w:rPr>
        <w:t>n</w:t>
      </w:r>
      <w:r>
        <w:t xml:space="preserve"> = 12-20 mice per group; Control: 18 male, 11 female, </w:t>
      </w:r>
      <w:proofErr w:type="spellStart"/>
      <w:r>
        <w:t>cDSS</w:t>
      </w:r>
      <w:proofErr w:type="spellEnd"/>
      <w:r>
        <w:t xml:space="preserve">: 19 male, 12 female; pooled of four independent experiments; Two-way ANOVA with Tukey’s multiple comparisons test). </w:t>
      </w:r>
      <w:r>
        <w:rPr>
          <w:b/>
        </w:rPr>
        <w:t>K</w:t>
      </w:r>
      <w:r>
        <w:t xml:space="preserve"> Spleen weight in percentage of bodyweight, mixed sex (</w:t>
      </w:r>
      <w:r>
        <w:rPr>
          <w:i/>
        </w:rPr>
        <w:t>n</w:t>
      </w:r>
      <w:r>
        <w:t xml:space="preserve"> = 32-34 mice per group; pooled of four independent experiments).</w:t>
      </w:r>
      <w:r>
        <w:rPr>
          <w:b/>
          <w:bCs/>
        </w:rPr>
        <w:t xml:space="preserve"> L</w:t>
      </w:r>
      <w:r>
        <w:t xml:space="preserve"> Spleen weight in percentage of bodyweight, split by sex (</w:t>
      </w:r>
      <w:r>
        <w:rPr>
          <w:i/>
        </w:rPr>
        <w:t>n</w:t>
      </w:r>
      <w:r>
        <w:t xml:space="preserve"> = 12-20 mice per group; Control: 20 male, 12 female, </w:t>
      </w:r>
      <w:proofErr w:type="spellStart"/>
      <w:r>
        <w:t>cDSS</w:t>
      </w:r>
      <w:proofErr w:type="spellEnd"/>
      <w:r>
        <w:t xml:space="preserve">: 20 male, 14 female; pooled of four independent experiments; Two-way ANOVA with Tukey’s multiple comparisons test). </w:t>
      </w:r>
      <w:r>
        <w:rPr>
          <w:b/>
        </w:rPr>
        <w:t>M</w:t>
      </w:r>
      <w:r>
        <w:t xml:space="preserve"> Expression of the inflammation-associated genes </w:t>
      </w:r>
      <w:r>
        <w:rPr>
          <w:i/>
        </w:rPr>
        <w:t>Il1b</w:t>
      </w:r>
      <w:r>
        <w:t xml:space="preserve">, </w:t>
      </w:r>
      <w:r>
        <w:rPr>
          <w:i/>
        </w:rPr>
        <w:t>Cxcl13</w:t>
      </w:r>
      <w:r>
        <w:t xml:space="preserve">, and </w:t>
      </w:r>
      <w:proofErr w:type="spellStart"/>
      <w:r>
        <w:rPr>
          <w:i/>
        </w:rPr>
        <w:t>Tnf</w:t>
      </w:r>
      <w:proofErr w:type="spellEnd"/>
      <w:r>
        <w:t xml:space="preserve"> in the lung and liver, mixed sex (</w:t>
      </w:r>
      <w:r>
        <w:rPr>
          <w:i/>
        </w:rPr>
        <w:t>n</w:t>
      </w:r>
      <w:r>
        <w:t xml:space="preserve"> = 9-10 mice per group; Control: 6 male, 4 female, </w:t>
      </w:r>
      <w:proofErr w:type="spellStart"/>
      <w:r>
        <w:t>cDSS</w:t>
      </w:r>
      <w:proofErr w:type="spellEnd"/>
      <w:r>
        <w:t>: 5 male, 4 female; multiple unpaired</w:t>
      </w:r>
      <w:r>
        <w:rPr>
          <w:i/>
        </w:rPr>
        <w:t xml:space="preserve"> t</w:t>
      </w:r>
      <w:r>
        <w:t xml:space="preserve">-tests). </w:t>
      </w:r>
      <w:r>
        <w:rPr>
          <w:b/>
        </w:rPr>
        <w:t>N</w:t>
      </w:r>
      <w:r>
        <w:t xml:space="preserve"> Serum concentrations of the inflammation-associated cytokines </w:t>
      </w:r>
      <w:bookmarkStart w:id="4" w:name="OLE_LINK5"/>
      <w:proofErr w:type="spellStart"/>
      <w:r>
        <w:t>IFN</w:t>
      </w:r>
      <w:r>
        <w:rPr>
          <w:rFonts w:cstheme="minorHAnsi"/>
        </w:rPr>
        <w:t>γ</w:t>
      </w:r>
      <w:bookmarkEnd w:id="4"/>
      <w:proofErr w:type="spellEnd"/>
      <w:r>
        <w:t>, TNF</w:t>
      </w:r>
      <w:r>
        <w:rPr>
          <w:rFonts w:cstheme="minorHAnsi"/>
        </w:rPr>
        <w:t>α</w:t>
      </w:r>
      <w:r>
        <w:t>, IL-1</w:t>
      </w:r>
      <w:r>
        <w:rPr>
          <w:rFonts w:cstheme="minorHAnsi"/>
        </w:rPr>
        <w:t>β</w:t>
      </w:r>
      <w:r>
        <w:t>, IL-2, IL-6, IL-10, CXCL10, IL-4, IL-5, IL-27p28/IL-30, IL-33, CCL2, CCL3, CXCL1 and CXCL2 (</w:t>
      </w:r>
      <w:r>
        <w:rPr>
          <w:i/>
        </w:rPr>
        <w:t>n</w:t>
      </w:r>
      <w:r>
        <w:t xml:space="preserve"> = 18 mice per group; Control: 14 male, 4 </w:t>
      </w:r>
      <w:r>
        <w:lastRenderedPageBreak/>
        <w:t xml:space="preserve">female, </w:t>
      </w:r>
      <w:proofErr w:type="spellStart"/>
      <w:r>
        <w:t>cDSS</w:t>
      </w:r>
      <w:proofErr w:type="spellEnd"/>
      <w:r>
        <w:t xml:space="preserve">: 14 male, 4 female;). </w:t>
      </w:r>
      <w:bookmarkStart w:id="5" w:name="OLE_LINK6"/>
      <w:r>
        <w:t xml:space="preserve">Two-tailed, unpaired </w:t>
      </w:r>
      <w:r>
        <w:rPr>
          <w:i/>
        </w:rPr>
        <w:t>t</w:t>
      </w:r>
      <w:r>
        <w:t xml:space="preserve">-test, if not otherwise indicated. Each point represents the value of one mouse. Data are presented as mean </w:t>
      </w:r>
      <w:r>
        <w:rPr>
          <w:rFonts w:cstheme="minorHAnsi"/>
        </w:rPr>
        <w:t>±</w:t>
      </w:r>
      <w:r>
        <w:t xml:space="preserve"> </w:t>
      </w:r>
      <w:proofErr w:type="spellStart"/>
      <w:r>
        <w:t>s.d.</w:t>
      </w:r>
      <w:bookmarkEnd w:id="5"/>
      <w:proofErr w:type="spellEnd"/>
      <w:r>
        <w:t xml:space="preserve"> Icons in </w:t>
      </w:r>
      <w:r>
        <w:rPr>
          <w:b/>
        </w:rPr>
        <w:t>A</w:t>
      </w:r>
      <w:r>
        <w:t xml:space="preserve"> </w:t>
      </w:r>
      <w:proofErr w:type="gramStart"/>
      <w:r>
        <w:t>were</w:t>
      </w:r>
      <w:proofErr w:type="gramEnd"/>
      <w:r>
        <w:t xml:space="preserve"> created with BioRender.com.</w:t>
      </w:r>
    </w:p>
    <w:p w:rsidR="00311646" w:rsidRPr="00652B69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259850A" wp14:editId="4F519FAE">
            <wp:extent cx="5760720" cy="5451003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5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46" w:rsidRPr="00331FB1" w:rsidRDefault="00311646" w:rsidP="00311646">
      <w:pPr>
        <w:spacing w:line="480" w:lineRule="auto"/>
        <w:jc w:val="both"/>
      </w:pPr>
      <w:r>
        <w:rPr>
          <w:b/>
        </w:rPr>
        <w:t xml:space="preserve">Figure S2. Cyclic DSS treatment induces chronic colitis and immune cell response in the whole brain of </w:t>
      </w:r>
      <w:proofErr w:type="spellStart"/>
      <w:r>
        <w:rPr>
          <w:b/>
          <w:i/>
        </w:rPr>
        <w:t>Hexb</w:t>
      </w:r>
      <w:r>
        <w:rPr>
          <w:b/>
          <w:i/>
          <w:vertAlign w:val="superscript"/>
        </w:rPr>
        <w:t>tdTomato</w:t>
      </w:r>
      <w:proofErr w:type="spellEnd"/>
      <w:r>
        <w:rPr>
          <w:b/>
        </w:rPr>
        <w:t xml:space="preserve"> mice while microglial </w:t>
      </w:r>
      <w:proofErr w:type="spellStart"/>
      <w:r>
        <w:rPr>
          <w:b/>
        </w:rPr>
        <w:t>Hexb</w:t>
      </w:r>
      <w:r>
        <w:rPr>
          <w:b/>
          <w:vertAlign w:val="superscript"/>
        </w:rPr>
        <w:t>tdTomato</w:t>
      </w:r>
      <w:proofErr w:type="spellEnd"/>
      <w:r>
        <w:rPr>
          <w:b/>
        </w:rPr>
        <w:t xml:space="preserve"> expression is maintained. A</w:t>
      </w:r>
      <w:r>
        <w:t xml:space="preserve"> Timeline of colitis induction in male and female </w:t>
      </w:r>
      <w:proofErr w:type="spellStart"/>
      <w:r>
        <w:rPr>
          <w:i/>
        </w:rPr>
        <w:t>Hexb</w:t>
      </w:r>
      <w:r>
        <w:rPr>
          <w:i/>
          <w:vertAlign w:val="superscript"/>
        </w:rPr>
        <w:t>tdTomato</w:t>
      </w:r>
      <w:proofErr w:type="spellEnd"/>
      <w:r>
        <w:t xml:space="preserve"> mice aged 20 weeks at the start of the experiment. </w:t>
      </w:r>
      <w:r>
        <w:rPr>
          <w:b/>
        </w:rPr>
        <w:t>B</w:t>
      </w:r>
      <w:r>
        <w:t xml:space="preserve"> Colonoscopy score on day 36. </w:t>
      </w:r>
      <w:r>
        <w:rPr>
          <w:b/>
        </w:rPr>
        <w:t>C</w:t>
      </w:r>
      <w:r>
        <w:t xml:space="preserve"> Colon length post dissection. </w:t>
      </w:r>
      <w:r>
        <w:rPr>
          <w:b/>
        </w:rPr>
        <w:t>D</w:t>
      </w:r>
      <w:r>
        <w:t xml:space="preserve"> Spleen length post dissection. </w:t>
      </w:r>
      <w:proofErr w:type="gramStart"/>
      <w:r>
        <w:rPr>
          <w:b/>
        </w:rPr>
        <w:t>E</w:t>
      </w:r>
      <w:r>
        <w:t xml:space="preserve"> Spleen weight in </w:t>
      </w:r>
      <w:r>
        <w:lastRenderedPageBreak/>
        <w:t>percentage of bodyweight.</w:t>
      </w:r>
      <w:proofErr w:type="gramEnd"/>
      <w:r>
        <w:t xml:space="preserve"> </w:t>
      </w:r>
      <w:r>
        <w:rPr>
          <w:b/>
        </w:rPr>
        <w:t>F</w:t>
      </w:r>
      <w:r>
        <w:t xml:space="preserve">, </w:t>
      </w:r>
      <w:r>
        <w:rPr>
          <w:b/>
        </w:rPr>
        <w:t>G</w:t>
      </w:r>
      <w:r>
        <w:t xml:space="preserve">, </w:t>
      </w:r>
      <w:r>
        <w:rPr>
          <w:b/>
        </w:rPr>
        <w:t>H</w:t>
      </w:r>
      <w:r>
        <w:t xml:space="preserve"> Flow cytometry analysis of CD45</w:t>
      </w:r>
      <w:r>
        <w:rPr>
          <w:vertAlign w:val="superscript"/>
        </w:rPr>
        <w:t>+</w:t>
      </w:r>
      <w:r>
        <w:t xml:space="preserve"> immune cells (</w:t>
      </w:r>
      <w:r>
        <w:rPr>
          <w:b/>
        </w:rPr>
        <w:t>F</w:t>
      </w:r>
      <w:r>
        <w:t>), CD19</w:t>
      </w:r>
      <w:r>
        <w:rPr>
          <w:vertAlign w:val="superscript"/>
        </w:rPr>
        <w:t>+</w:t>
      </w:r>
      <w:r>
        <w:t xml:space="preserve"> B cells, CD3</w:t>
      </w:r>
      <w:r>
        <w:rPr>
          <w:vertAlign w:val="superscript"/>
        </w:rPr>
        <w:t>+</w:t>
      </w:r>
      <w:r>
        <w:t xml:space="preserve"> T cells, Ly6G</w:t>
      </w:r>
      <w:r>
        <w:rPr>
          <w:vertAlign w:val="superscript"/>
        </w:rPr>
        <w:t>+</w:t>
      </w:r>
      <w:r>
        <w:t xml:space="preserve"> neutrophils, Ly6C</w:t>
      </w:r>
      <w:r>
        <w:rPr>
          <w:vertAlign w:val="superscript"/>
        </w:rPr>
        <w:t>+</w:t>
      </w:r>
      <w:r>
        <w:t xml:space="preserve"> monocytes, and CD45</w:t>
      </w:r>
      <w:r>
        <w:rPr>
          <w:vertAlign w:val="superscript"/>
        </w:rPr>
        <w:t>int</w:t>
      </w:r>
      <w:r>
        <w:t>CD11b</w:t>
      </w:r>
      <w:r>
        <w:rPr>
          <w:vertAlign w:val="superscript"/>
        </w:rPr>
        <w:t>+</w:t>
      </w:r>
      <w:r>
        <w:t xml:space="preserve"> microglia as percentage of CD45</w:t>
      </w:r>
      <w:r>
        <w:rPr>
          <w:vertAlign w:val="superscript"/>
        </w:rPr>
        <w:t>+</w:t>
      </w:r>
      <w:r>
        <w:t xml:space="preserve"> cells (</w:t>
      </w:r>
      <w:r>
        <w:rPr>
          <w:b/>
        </w:rPr>
        <w:t>G</w:t>
      </w:r>
      <w:r>
        <w:t>), and CD3</w:t>
      </w:r>
      <w:r>
        <w:rPr>
          <w:vertAlign w:val="superscript"/>
        </w:rPr>
        <w:t>+</w:t>
      </w:r>
      <w:r>
        <w:t>CD4</w:t>
      </w:r>
      <w:r>
        <w:rPr>
          <w:vertAlign w:val="superscript"/>
        </w:rPr>
        <w:t>+</w:t>
      </w:r>
      <w:r>
        <w:t>, CD3</w:t>
      </w:r>
      <w:r>
        <w:rPr>
          <w:vertAlign w:val="superscript"/>
        </w:rPr>
        <w:t>+</w:t>
      </w:r>
      <w:r>
        <w:t>CD8</w:t>
      </w:r>
      <w:r>
        <w:rPr>
          <w:vertAlign w:val="superscript"/>
        </w:rPr>
        <w:t>+</w:t>
      </w:r>
      <w:r>
        <w:t>, and CD3</w:t>
      </w:r>
      <w:r>
        <w:rPr>
          <w:vertAlign w:val="superscript"/>
        </w:rPr>
        <w:t>+</w:t>
      </w:r>
      <w:r>
        <w:t>CD4</w:t>
      </w:r>
      <w:r>
        <w:rPr>
          <w:vertAlign w:val="superscript"/>
        </w:rPr>
        <w:t>-</w:t>
      </w:r>
      <w:r>
        <w:t>CD8</w:t>
      </w:r>
      <w:r>
        <w:rPr>
          <w:vertAlign w:val="superscript"/>
        </w:rPr>
        <w:t>-</w:t>
      </w:r>
      <w:r>
        <w:t xml:space="preserve"> T cells as percentage of CD45</w:t>
      </w:r>
      <w:r>
        <w:rPr>
          <w:vertAlign w:val="superscript"/>
        </w:rPr>
        <w:t>+</w:t>
      </w:r>
      <w:r>
        <w:t xml:space="preserve"> cells (</w:t>
      </w:r>
      <w:r>
        <w:rPr>
          <w:b/>
        </w:rPr>
        <w:t>H</w:t>
      </w:r>
      <w:r>
        <w:t>) in whole brain tissue.</w:t>
      </w:r>
      <w:r>
        <w:rPr>
          <w:b/>
        </w:rPr>
        <w:t xml:space="preserve"> </w:t>
      </w:r>
      <w:proofErr w:type="gramStart"/>
      <w:r>
        <w:rPr>
          <w:b/>
        </w:rPr>
        <w:t>I</w:t>
      </w:r>
      <w:r>
        <w:t xml:space="preserve">, Immunostaining for Iba1 (white) and </w:t>
      </w:r>
      <w:proofErr w:type="spellStart"/>
      <w:r>
        <w:t>Hexb</w:t>
      </w:r>
      <w:proofErr w:type="spellEnd"/>
      <w:r>
        <w:t xml:space="preserve"> (</w:t>
      </w:r>
      <w:proofErr w:type="spellStart"/>
      <w:r>
        <w:t>tdTomato</w:t>
      </w:r>
      <w:proofErr w:type="spellEnd"/>
      <w:r>
        <w:t xml:space="preserve">) in brain tissue of </w:t>
      </w:r>
      <w:proofErr w:type="spellStart"/>
      <w:r>
        <w:rPr>
          <w:i/>
        </w:rPr>
        <w:t>Hexb</w:t>
      </w:r>
      <w:r>
        <w:rPr>
          <w:i/>
          <w:vertAlign w:val="superscript"/>
        </w:rPr>
        <w:t>tdTomato</w:t>
      </w:r>
      <w:proofErr w:type="spellEnd"/>
      <w:r>
        <w:t xml:space="preserve"> mice.</w:t>
      </w:r>
      <w:proofErr w:type="gramEnd"/>
      <w:r>
        <w:t xml:space="preserve"> Scale bar, 20 µm. </w:t>
      </w:r>
      <w:r>
        <w:rPr>
          <w:b/>
        </w:rPr>
        <w:t>J</w:t>
      </w:r>
      <w:r>
        <w:t>, Quantification of Iba1</w:t>
      </w:r>
      <w:r>
        <w:rPr>
          <w:vertAlign w:val="superscript"/>
        </w:rPr>
        <w:t>+</w:t>
      </w:r>
      <w:r>
        <w:t>Hexb</w:t>
      </w:r>
      <w:r>
        <w:rPr>
          <w:vertAlign w:val="superscript"/>
        </w:rPr>
        <w:t>tdTomato+</w:t>
      </w:r>
      <w:r>
        <w:t xml:space="preserve"> cells in percentage of Iba1</w:t>
      </w:r>
      <w:r>
        <w:rPr>
          <w:vertAlign w:val="superscript"/>
        </w:rPr>
        <w:t>+</w:t>
      </w:r>
      <w:r>
        <w:t xml:space="preserve"> cells in the midbrain. </w:t>
      </w:r>
      <w:r>
        <w:rPr>
          <w:b/>
        </w:rPr>
        <w:t>K</w:t>
      </w:r>
      <w:r>
        <w:t xml:space="preserve">, Flow cytometry analysis of </w:t>
      </w:r>
      <w:proofErr w:type="spellStart"/>
      <w:r>
        <w:t>Hexb</w:t>
      </w:r>
      <w:r>
        <w:rPr>
          <w:vertAlign w:val="superscript"/>
        </w:rPr>
        <w:t>tdTomato</w:t>
      </w:r>
      <w:proofErr w:type="spellEnd"/>
      <w:r>
        <w:rPr>
          <w:vertAlign w:val="superscript"/>
        </w:rPr>
        <w:t>+</w:t>
      </w:r>
      <w:r>
        <w:t xml:space="preserve"> cells in percentage of CD11b</w:t>
      </w:r>
      <w:r>
        <w:rPr>
          <w:vertAlign w:val="superscript"/>
        </w:rPr>
        <w:t>+</w:t>
      </w:r>
      <w:r>
        <w:t>CD45</w:t>
      </w:r>
      <w:r>
        <w:rPr>
          <w:vertAlign w:val="superscript"/>
        </w:rPr>
        <w:t>int</w:t>
      </w:r>
      <w:r>
        <w:t xml:space="preserve"> cells. The results are from </w:t>
      </w:r>
      <w:r>
        <w:rPr>
          <w:i/>
        </w:rPr>
        <w:t xml:space="preserve">n </w:t>
      </w:r>
      <w:r>
        <w:t xml:space="preserve">= 10 (Control: 5 male, 5 female, </w:t>
      </w:r>
      <w:proofErr w:type="spellStart"/>
      <w:r>
        <w:t>cDSS</w:t>
      </w:r>
      <w:proofErr w:type="spellEnd"/>
      <w:r>
        <w:t xml:space="preserve">: 4 male, 6 female; </w:t>
      </w:r>
      <w:r>
        <w:rPr>
          <w:b/>
        </w:rPr>
        <w:t>B - H</w:t>
      </w:r>
      <w:r>
        <w:t>,</w:t>
      </w:r>
      <w:r>
        <w:rPr>
          <w:b/>
        </w:rPr>
        <w:t xml:space="preserve"> K</w:t>
      </w:r>
      <w:r>
        <w:t xml:space="preserve">) and </w:t>
      </w:r>
      <w:r>
        <w:rPr>
          <w:i/>
        </w:rPr>
        <w:t xml:space="preserve">n </w:t>
      </w:r>
      <w:r>
        <w:t xml:space="preserve">= 5 (Control: 2 male, 3 female, </w:t>
      </w:r>
      <w:proofErr w:type="spellStart"/>
      <w:r>
        <w:t>cDSS</w:t>
      </w:r>
      <w:proofErr w:type="spellEnd"/>
      <w:r>
        <w:t xml:space="preserve">: 1 male, 4 female; </w:t>
      </w:r>
      <w:r>
        <w:rPr>
          <w:b/>
        </w:rPr>
        <w:t>J</w:t>
      </w:r>
      <w:r>
        <w:t xml:space="preserve">) mice per group. Two-tailed, unpaired </w:t>
      </w:r>
      <w:r>
        <w:rPr>
          <w:i/>
        </w:rPr>
        <w:t>t</w:t>
      </w:r>
      <w:r>
        <w:t xml:space="preserve">-test, if not otherwise indicated. Each point represents the value of one mouse. Data are presented as mean </w:t>
      </w:r>
      <w:r>
        <w:rPr>
          <w:rFonts w:cstheme="minorHAnsi"/>
        </w:rPr>
        <w:t>±</w:t>
      </w:r>
      <w:r>
        <w:t xml:space="preserve"> </w:t>
      </w:r>
      <w:proofErr w:type="spellStart"/>
      <w:r>
        <w:t>s.d.</w:t>
      </w:r>
      <w:proofErr w:type="spellEnd"/>
      <w:r>
        <w:t xml:space="preserve"> Icons in </w:t>
      </w:r>
      <w:r>
        <w:rPr>
          <w:b/>
          <w:bCs/>
        </w:rPr>
        <w:t>A</w:t>
      </w:r>
      <w:r>
        <w:t xml:space="preserve"> </w:t>
      </w:r>
      <w:proofErr w:type="gramStart"/>
      <w:r>
        <w:t>were</w:t>
      </w:r>
      <w:proofErr w:type="gramEnd"/>
      <w:r>
        <w:t xml:space="preserve"> created with BioRender.com.</w:t>
      </w:r>
    </w:p>
    <w:p w:rsidR="00311646" w:rsidRPr="00652B69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967C841" wp14:editId="6D7A2A9F">
            <wp:extent cx="5760720" cy="4265295"/>
            <wp:effectExtent l="0" t="0" r="0" b="190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6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46" w:rsidRPr="00331FB1" w:rsidRDefault="00311646" w:rsidP="00311646">
      <w:pPr>
        <w:spacing w:line="480" w:lineRule="auto"/>
        <w:jc w:val="both"/>
      </w:pPr>
      <w:r>
        <w:rPr>
          <w:b/>
        </w:rPr>
        <w:lastRenderedPageBreak/>
        <w:t xml:space="preserve">Figure S3. Flow cytometry gating strategy of brain immune cells isolated from </w:t>
      </w:r>
      <w:proofErr w:type="spellStart"/>
      <w:r>
        <w:rPr>
          <w:b/>
        </w:rPr>
        <w:t>cDSS</w:t>
      </w:r>
      <w:proofErr w:type="spellEnd"/>
      <w:r>
        <w:rPr>
          <w:b/>
        </w:rPr>
        <w:t xml:space="preserve">-treated and control </w:t>
      </w:r>
      <w:proofErr w:type="spellStart"/>
      <w:r>
        <w:rPr>
          <w:b/>
          <w:i/>
        </w:rPr>
        <w:t>Hexb</w:t>
      </w:r>
      <w:r>
        <w:rPr>
          <w:b/>
          <w:i/>
          <w:vertAlign w:val="superscript"/>
        </w:rPr>
        <w:t>tdTomato</w:t>
      </w:r>
      <w:proofErr w:type="spellEnd"/>
      <w:r>
        <w:rPr>
          <w:b/>
        </w:rPr>
        <w:t xml:space="preserve"> mice. </w:t>
      </w:r>
      <w:r>
        <w:t>Cells were gated on SSC-A and SSC-H to remove doublets. Singlets negative for the Live/Dead fixable Aqua stain were considered as live cells. CD45</w:t>
      </w:r>
      <w:r>
        <w:rPr>
          <w:vertAlign w:val="superscript"/>
        </w:rPr>
        <w:t>+</w:t>
      </w:r>
      <w:r>
        <w:t xml:space="preserve"> live cells were gated on CD11b to identify CD11b</w:t>
      </w:r>
      <w:r>
        <w:rPr>
          <w:vertAlign w:val="superscript"/>
        </w:rPr>
        <w:t>+</w:t>
      </w:r>
      <w:r>
        <w:t>CD45</w:t>
      </w:r>
      <w:r>
        <w:rPr>
          <w:vertAlign w:val="superscript"/>
        </w:rPr>
        <w:t>int</w:t>
      </w:r>
      <w:r>
        <w:t xml:space="preserve"> microglia that were further gated on </w:t>
      </w:r>
      <w:proofErr w:type="spellStart"/>
      <w:r>
        <w:t>tdTomato</w:t>
      </w:r>
      <w:proofErr w:type="spellEnd"/>
      <w:r>
        <w:t xml:space="preserve"> to determine </w:t>
      </w:r>
      <w:proofErr w:type="spellStart"/>
      <w:r>
        <w:t>tdTomato</w:t>
      </w:r>
      <w:proofErr w:type="spellEnd"/>
      <w:r>
        <w:rPr>
          <w:vertAlign w:val="superscript"/>
        </w:rPr>
        <w:t>+</w:t>
      </w:r>
      <w:r>
        <w:t xml:space="preserve"> microglia. CD11b</w:t>
      </w:r>
      <w:r>
        <w:rPr>
          <w:vertAlign w:val="superscript"/>
        </w:rPr>
        <w:t>+</w:t>
      </w:r>
      <w:r>
        <w:t>CD45</w:t>
      </w:r>
      <w:r>
        <w:rPr>
          <w:vertAlign w:val="superscript"/>
        </w:rPr>
        <w:t>+</w:t>
      </w:r>
      <w:r>
        <w:t xml:space="preserve"> cells were gated on Ly6G and Ly6C to distinguish Ly6G</w:t>
      </w:r>
      <w:r>
        <w:rPr>
          <w:vertAlign w:val="superscript"/>
        </w:rPr>
        <w:t>+</w:t>
      </w:r>
      <w:r>
        <w:t xml:space="preserve"> neutrophils from Ly6C</w:t>
      </w:r>
      <w:r>
        <w:rPr>
          <w:vertAlign w:val="superscript"/>
        </w:rPr>
        <w:t>+</w:t>
      </w:r>
      <w:r>
        <w:t xml:space="preserve"> monocytes. CD11b</w:t>
      </w:r>
      <w:r>
        <w:rPr>
          <w:vertAlign w:val="superscript"/>
        </w:rPr>
        <w:t>-</w:t>
      </w:r>
      <w:r>
        <w:t>CD45</w:t>
      </w:r>
      <w:r>
        <w:rPr>
          <w:vertAlign w:val="superscript"/>
        </w:rPr>
        <w:t>+</w:t>
      </w:r>
      <w:r>
        <w:t xml:space="preserve"> cells were gated on CD3 (T cells) and CD19 (B cells), and CD3</w:t>
      </w:r>
      <w:r>
        <w:rPr>
          <w:vertAlign w:val="superscript"/>
        </w:rPr>
        <w:t>+</w:t>
      </w:r>
      <w:r>
        <w:t xml:space="preserve"> cells were further gated on CD8 and CD4 to identify T cell subpopulations.</w:t>
      </w:r>
    </w:p>
    <w:p w:rsidR="00311646" w:rsidRPr="00652B69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C1FAC5" wp14:editId="66BE0558">
            <wp:extent cx="5760720" cy="335724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46" w:rsidRPr="00B118CA" w:rsidRDefault="00311646" w:rsidP="00311646">
      <w:pPr>
        <w:spacing w:line="480" w:lineRule="auto"/>
        <w:jc w:val="both"/>
        <w:rPr>
          <w:b/>
        </w:rPr>
      </w:pPr>
      <w:r>
        <w:rPr>
          <w:b/>
        </w:rPr>
        <w:t>Figure S4. Regional microglia density and morphology remain unaltered in chronic DSS colitis mice.</w:t>
      </w:r>
    </w:p>
    <w:p w:rsidR="00311646" w:rsidRPr="00010967" w:rsidRDefault="00311646" w:rsidP="00311646">
      <w:pPr>
        <w:spacing w:line="480" w:lineRule="auto"/>
        <w:jc w:val="both"/>
      </w:pPr>
      <w:r>
        <w:rPr>
          <w:b/>
        </w:rPr>
        <w:t>A</w:t>
      </w:r>
      <w:r>
        <w:t xml:space="preserve"> Immunostaining for Iba1 in brain tissue of C57BL/6J mice (left) and quantification of Iba1</w:t>
      </w:r>
      <w:r>
        <w:rPr>
          <w:vertAlign w:val="superscript"/>
        </w:rPr>
        <w:t>+</w:t>
      </w:r>
      <w:r>
        <w:t xml:space="preserve"> cells normalized to mm</w:t>
      </w:r>
      <w:r>
        <w:rPr>
          <w:vertAlign w:val="superscript"/>
        </w:rPr>
        <w:t>3</w:t>
      </w:r>
      <w:r>
        <w:t xml:space="preserve"> in the hippocampus (</w:t>
      </w:r>
      <w:proofErr w:type="spellStart"/>
      <w:r>
        <w:t>Hc</w:t>
      </w:r>
      <w:proofErr w:type="spellEnd"/>
      <w:r>
        <w:t>), cortex (</w:t>
      </w:r>
      <w:proofErr w:type="spellStart"/>
      <w:r>
        <w:t>Ctx</w:t>
      </w:r>
      <w:proofErr w:type="spellEnd"/>
      <w:r>
        <w:t>), striatum (</w:t>
      </w:r>
      <w:proofErr w:type="spellStart"/>
      <w:r>
        <w:t>str</w:t>
      </w:r>
      <w:proofErr w:type="spellEnd"/>
      <w:r>
        <w:t xml:space="preserve">), and substantia </w:t>
      </w:r>
      <w:proofErr w:type="spellStart"/>
      <w:r>
        <w:t>nigra</w:t>
      </w:r>
      <w:proofErr w:type="spellEnd"/>
      <w:r>
        <w:t xml:space="preserve"> (Sn, </w:t>
      </w:r>
      <w:r>
        <w:rPr>
          <w:i/>
        </w:rPr>
        <w:t xml:space="preserve">n </w:t>
      </w:r>
      <w:r>
        <w:t xml:space="preserve">= 7 mice per group; Control/DSS: 4 male, 3 female; two-way ANOVA with </w:t>
      </w:r>
      <w:proofErr w:type="spellStart"/>
      <w:r>
        <w:t>Šídák's</w:t>
      </w:r>
      <w:proofErr w:type="spellEnd"/>
      <w:r>
        <w:t xml:space="preserve"> multiple comparisons test). Scale bars, 20 µm. </w:t>
      </w:r>
      <w:r>
        <w:rPr>
          <w:b/>
        </w:rPr>
        <w:t>B</w:t>
      </w:r>
      <w:r>
        <w:t xml:space="preserve"> </w:t>
      </w:r>
      <w:proofErr w:type="spellStart"/>
      <w:r>
        <w:t>Sholl</w:t>
      </w:r>
      <w:proofErr w:type="spellEnd"/>
      <w:r>
        <w:t xml:space="preserve"> analysis of microglia in the substantia </w:t>
      </w:r>
      <w:proofErr w:type="spellStart"/>
      <w:r>
        <w:t>nigra</w:t>
      </w:r>
      <w:proofErr w:type="spellEnd"/>
      <w:r>
        <w:t>.</w:t>
      </w:r>
      <w:r>
        <w:rPr>
          <w:b/>
        </w:rPr>
        <w:t xml:space="preserve"> C</w:t>
      </w:r>
      <w:r>
        <w:t xml:space="preserve"> Microglial process parameters in the substantia </w:t>
      </w:r>
      <w:proofErr w:type="spellStart"/>
      <w:r>
        <w:t>nigra</w:t>
      </w:r>
      <w:proofErr w:type="spellEnd"/>
      <w:r>
        <w:t xml:space="preserve"> (</w:t>
      </w:r>
      <w:r>
        <w:rPr>
          <w:i/>
        </w:rPr>
        <w:t>n</w:t>
      </w:r>
      <w:r>
        <w:t xml:space="preserve"> = 6-7 mice per group; Control: 4 male, 2 female, DSS: 4 male, 3 female; two-</w:t>
      </w:r>
      <w:r>
        <w:lastRenderedPageBreak/>
        <w:t xml:space="preserve">tailed, unpaired </w:t>
      </w:r>
      <w:r>
        <w:rPr>
          <w:i/>
        </w:rPr>
        <w:t>t</w:t>
      </w:r>
      <w:r>
        <w:t xml:space="preserve">-test). Each point represents the mean value of one mouse. Data are presented as mean </w:t>
      </w:r>
      <w:r>
        <w:rPr>
          <w:rFonts w:cstheme="minorHAnsi"/>
        </w:rPr>
        <w:t>±</w:t>
      </w:r>
      <w:r>
        <w:t xml:space="preserve"> </w:t>
      </w:r>
      <w:proofErr w:type="spellStart"/>
      <w:r>
        <w:t>s.d.</w:t>
      </w:r>
      <w:proofErr w:type="spellEnd"/>
    </w:p>
    <w:p w:rsidR="00311646" w:rsidRPr="00652B69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2E00080" wp14:editId="067FFED4">
            <wp:extent cx="5760720" cy="4056380"/>
            <wp:effectExtent l="0" t="0" r="0" b="127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46" w:rsidRPr="00010967" w:rsidRDefault="00311646" w:rsidP="00311646">
      <w:pPr>
        <w:spacing w:line="480" w:lineRule="auto"/>
        <w:jc w:val="both"/>
      </w:pPr>
      <w:r>
        <w:rPr>
          <w:b/>
        </w:rPr>
        <w:t xml:space="preserve">Figure S5. </w:t>
      </w:r>
      <w:r>
        <w:rPr>
          <w:b/>
          <w:bCs/>
        </w:rPr>
        <w:t xml:space="preserve">Transcriptome and proteome analyses reveal subtle alterations in the striatum during chronic DSS colitis. </w:t>
      </w:r>
      <w:r>
        <w:rPr>
          <w:b/>
        </w:rPr>
        <w:t>A</w:t>
      </w:r>
      <w:r>
        <w:t xml:space="preserve"> Volcano plot of genes differentially expressed in the striatum of chronic DSS colitis mice vs. control mice. </w:t>
      </w:r>
      <w:r>
        <w:rPr>
          <w:b/>
        </w:rPr>
        <w:t>B</w:t>
      </w:r>
      <w:r>
        <w:t xml:space="preserve"> Volcano plot of proteins differentially expressed in the striatum of chronic DSS colitis mice vs. control mice.</w:t>
      </w:r>
      <w:r>
        <w:rPr>
          <w:b/>
        </w:rPr>
        <w:t xml:space="preserve"> C</w:t>
      </w:r>
      <w:r>
        <w:t xml:space="preserve"> Gene Ontology Biological Process analysis of the 30 proteins significantly higher expressed in the striatum of chronic DSS colitis mice compared to control mice. </w:t>
      </w:r>
      <w:r>
        <w:rPr>
          <w:b/>
        </w:rPr>
        <w:t>D</w:t>
      </w:r>
      <w:r>
        <w:t xml:space="preserve"> KEGG (GSEA) pathway enrichment of proteins differentially expressed in the striatum of chronic DSS colitis mice compared to control mice.</w:t>
      </w:r>
    </w:p>
    <w:p w:rsidR="00311646" w:rsidRPr="00652B69" w:rsidRDefault="00311646" w:rsidP="00311646">
      <w:pPr>
        <w:spacing w:before="100" w:beforeAutospacing="1" w:after="100" w:afterAutospacing="1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5FB3B3" wp14:editId="2D7DCC12">
            <wp:extent cx="5722620" cy="7974848"/>
            <wp:effectExtent l="0" t="0" r="0" b="762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275" cy="797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46" w:rsidRDefault="00311646" w:rsidP="00311646">
      <w:pPr>
        <w:spacing w:line="480" w:lineRule="auto"/>
        <w:jc w:val="both"/>
      </w:pPr>
      <w:r>
        <w:rPr>
          <w:b/>
        </w:rPr>
        <w:lastRenderedPageBreak/>
        <w:t xml:space="preserve">Figure S6. UMAPs and feature plots of immune cell type defining genes in the midbrain. </w:t>
      </w:r>
      <w:proofErr w:type="gramStart"/>
      <w:r>
        <w:rPr>
          <w:b/>
        </w:rPr>
        <w:t>A</w:t>
      </w:r>
      <w:proofErr w:type="gramEnd"/>
      <w:r>
        <w:t xml:space="preserve"> Individual UMAPs of immune cells in the midbrain per group. </w:t>
      </w:r>
      <w:r>
        <w:rPr>
          <w:b/>
        </w:rPr>
        <w:t>B</w:t>
      </w:r>
      <w:r>
        <w:t xml:space="preserve"> Feature plots of cluster defining markers.</w:t>
      </w:r>
    </w:p>
    <w:p w:rsidR="00311646" w:rsidRDefault="00311646" w:rsidP="00311646">
      <w:pPr>
        <w:spacing w:after="120"/>
        <w:contextualSpacing w:val="0"/>
      </w:pPr>
      <w:r>
        <w:rPr>
          <w:b/>
        </w:rPr>
        <w:t>Table S1.</w:t>
      </w:r>
      <w:r>
        <w:t xml:space="preserve"> </w:t>
      </w:r>
      <w:r>
        <w:rPr>
          <w:b/>
        </w:rPr>
        <w:t>Antibodies used for immunofluorescence and flow cytometry.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311646" w:rsidTr="000B02B0"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1646" w:rsidRPr="00CB42DB" w:rsidRDefault="00311646" w:rsidP="000B02B0">
            <w:pPr>
              <w:spacing w:line="276" w:lineRule="auto"/>
            </w:pPr>
            <w:r>
              <w:t>Antibody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1646" w:rsidRPr="00CB42DB" w:rsidRDefault="00311646" w:rsidP="000B02B0">
            <w:pPr>
              <w:spacing w:line="276" w:lineRule="auto"/>
            </w:pPr>
            <w:r>
              <w:t>Source</w:t>
            </w:r>
          </w:p>
        </w:tc>
        <w:tc>
          <w:tcPr>
            <w:tcW w:w="1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1646" w:rsidRPr="00CB42DB" w:rsidRDefault="00311646" w:rsidP="000B02B0">
            <w:pPr>
              <w:spacing w:line="276" w:lineRule="auto"/>
            </w:pPr>
            <w:r>
              <w:t>Identifier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B42DB" w:rsidRDefault="00311646" w:rsidP="000B02B0">
            <w:pPr>
              <w:spacing w:line="276" w:lineRule="auto"/>
              <w:jc w:val="both"/>
            </w:pPr>
            <w:r>
              <w:t>Iba1 polyclonal antibody</w:t>
            </w:r>
          </w:p>
        </w:tc>
        <w:tc>
          <w:tcPr>
            <w:tcW w:w="1667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ab5076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B42DB" w:rsidRDefault="00311646" w:rsidP="000B02B0">
            <w:pPr>
              <w:spacing w:line="276" w:lineRule="auto"/>
              <w:jc w:val="both"/>
            </w:pPr>
            <w:r>
              <w:t>Iba1 polyclonal antibody</w:t>
            </w:r>
          </w:p>
        </w:tc>
        <w:tc>
          <w:tcPr>
            <w:tcW w:w="1667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FUJIFILM Wako Pure Chemical Corporation</w:t>
            </w:r>
          </w:p>
        </w:tc>
        <w:tc>
          <w:tcPr>
            <w:tcW w:w="1666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019-19741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B42DB" w:rsidRDefault="00311646" w:rsidP="000B02B0">
            <w:pPr>
              <w:spacing w:line="276" w:lineRule="auto"/>
              <w:jc w:val="both"/>
            </w:pPr>
            <w:r>
              <w:t>C1q monoclonal antibody [4.8]</w:t>
            </w:r>
          </w:p>
        </w:tc>
        <w:tc>
          <w:tcPr>
            <w:tcW w:w="1667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ab182451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B42DB" w:rsidRDefault="00311646" w:rsidP="000B02B0">
            <w:pPr>
              <w:spacing w:line="276" w:lineRule="auto"/>
            </w:pPr>
            <w:r>
              <w:t>CD4 monoclonal antibody [EPR19514]</w:t>
            </w:r>
          </w:p>
        </w:tc>
        <w:tc>
          <w:tcPr>
            <w:tcW w:w="1667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ab183685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B42DB" w:rsidRDefault="00311646" w:rsidP="000B02B0">
            <w:pPr>
              <w:spacing w:line="276" w:lineRule="auto"/>
            </w:pPr>
            <w:r>
              <w:t>CD8 monoclonal antibody [EPR21769]</w:t>
            </w:r>
          </w:p>
        </w:tc>
        <w:tc>
          <w:tcPr>
            <w:tcW w:w="1667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ab217344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CD68 monoclonal antibody [Fa-11]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Bio-Rad Laboratories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MCA1957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Collagen IV polyclonal antibody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Sigma-Aldrich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AB769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Ly6G monoclonal antibody [1A8]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127602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C38A3" w:rsidRDefault="00311646" w:rsidP="000B02B0">
            <w:pPr>
              <w:spacing w:line="276" w:lineRule="auto"/>
            </w:pPr>
            <w:proofErr w:type="spellStart"/>
            <w:r>
              <w:t>Phospho</w:t>
            </w:r>
            <w:proofErr w:type="spellEnd"/>
            <w:r>
              <w:t>-alpha-</w:t>
            </w:r>
            <w:proofErr w:type="spellStart"/>
            <w:r>
              <w:t>Synuclein</w:t>
            </w:r>
            <w:proofErr w:type="spellEnd"/>
            <w:r>
              <w:t xml:space="preserve"> (Ser129) monoclonal antibody [D1R1R]</w:t>
            </w:r>
          </w:p>
        </w:tc>
        <w:tc>
          <w:tcPr>
            <w:tcW w:w="1667" w:type="pct"/>
            <w:vAlign w:val="center"/>
          </w:tcPr>
          <w:p w:rsidR="00311646" w:rsidRPr="00CC38A3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Cell Signaling Technology</w:t>
            </w:r>
          </w:p>
        </w:tc>
        <w:tc>
          <w:tcPr>
            <w:tcW w:w="1666" w:type="pct"/>
            <w:vAlign w:val="center"/>
          </w:tcPr>
          <w:p w:rsidR="00311646" w:rsidRPr="00CC38A3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23706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TH polyclonal antibody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Sigma-Aldrich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AB152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TH polyclonal antibody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MA1-24654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anti-Mouse IgG (H+L) High Cross-Adsorbed Secondary Antibody, Alexa Fluor</w:t>
            </w:r>
            <w:r>
              <w:rPr>
                <w:rFonts w:cstheme="minorHAnsi"/>
              </w:rPr>
              <w:t>™</w:t>
            </w:r>
            <w:r>
              <w:t xml:space="preserve"> 568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A10037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anti-Goat IgG (H+L) High Cross-Adsorbed Secondary Antibody, Alexa Fluor</w:t>
            </w:r>
            <w:r>
              <w:rPr>
                <w:rFonts w:cstheme="minorHAnsi"/>
              </w:rPr>
              <w:t>™</w:t>
            </w:r>
            <w:r>
              <w:t xml:space="preserve"> 488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A11055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anti-Goat IgG (H+L) High Cross-Adsorbed Secondary Antibody, Alexa Fluor</w:t>
            </w:r>
            <w:r>
              <w:rPr>
                <w:rFonts w:cstheme="minorHAnsi"/>
              </w:rPr>
              <w:t>™</w:t>
            </w:r>
            <w:r>
              <w:t xml:space="preserve"> 568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A11057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anti-Rabbit IgG (H+L) High Cross-Adsorbed Secondary Antibody, Alexa Fluor</w:t>
            </w:r>
            <w:r>
              <w:rPr>
                <w:rFonts w:cstheme="minorHAnsi"/>
              </w:rPr>
              <w:t>™</w:t>
            </w:r>
            <w:r>
              <w:t xml:space="preserve"> 568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A10042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anti-Rabbit IgG (H+L), Alexa Fluor</w:t>
            </w:r>
            <w:r>
              <w:rPr>
                <w:rFonts w:cstheme="minorHAnsi"/>
              </w:rPr>
              <w:t>™</w:t>
            </w:r>
            <w:r>
              <w:t xml:space="preserve"> 647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Dianova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711-605-152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anti-Rat IgG (H+L) High Cross-Adsorbed Secondary Antibody, Alexa Fluor</w:t>
            </w:r>
            <w:r>
              <w:rPr>
                <w:rFonts w:cstheme="minorHAnsi"/>
              </w:rPr>
              <w:t>™</w:t>
            </w:r>
            <w:r>
              <w:t xml:space="preserve"> 488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A21208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Donkey anti-Rat IgG (H+L), Alexa Fluor</w:t>
            </w:r>
            <w:r>
              <w:rPr>
                <w:rFonts w:cstheme="minorHAnsi"/>
              </w:rPr>
              <w:t>™</w:t>
            </w:r>
            <w:r>
              <w:t xml:space="preserve"> 647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Dianova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712-605-153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proofErr w:type="spellStart"/>
            <w:r>
              <w:lastRenderedPageBreak/>
              <w:t>eFluor</w:t>
            </w:r>
            <w:proofErr w:type="spellEnd"/>
            <w:r>
              <w:rPr>
                <w:rFonts w:cstheme="minorHAnsi"/>
              </w:rPr>
              <w:t>™</w:t>
            </w:r>
            <w:r>
              <w:t xml:space="preserve"> 450 anti-mouse CD3e monoclonal antibody [145-2C11]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48-0031-82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APC/Fire</w:t>
            </w:r>
            <w:r>
              <w:rPr>
                <w:rFonts w:cstheme="minorHAnsi"/>
              </w:rPr>
              <w:t>™</w:t>
            </w:r>
            <w:r>
              <w:t xml:space="preserve"> 810 anti-mouse CD4 monoclonal antibody [GK1.5]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100480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Brilliant Violet 650</w:t>
            </w:r>
            <w:r>
              <w:rPr>
                <w:rFonts w:cstheme="minorHAnsi"/>
              </w:rPr>
              <w:t>™</w:t>
            </w:r>
            <w:r>
              <w:t xml:space="preserve"> anti-mouse CD8 monoclonal antibody [53-6.7]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128049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PE/Cyanine7 anti-mouse/human CD11b monoclonal antibody [M1/70]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101216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Alexa Fluor</w:t>
            </w:r>
            <w:r>
              <w:rPr>
                <w:rFonts w:cstheme="minorHAnsi"/>
              </w:rPr>
              <w:t>™</w:t>
            </w:r>
            <w:r>
              <w:t xml:space="preserve"> 660 anti-mouse monoclonal antibody CD19 [1D3]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606-0193-82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PE-Cyanine5.5 anti-mouse CD45 monoclonal antibody [30-F11]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Thermo</w:t>
            </w:r>
            <w:proofErr w:type="spellEnd"/>
            <w:r>
              <w:rPr>
                <w:sz w:val="22"/>
                <w:szCs w:val="22"/>
              </w:rPr>
              <w:t xml:space="preserve"> Fisher Scientific</w:t>
            </w:r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35-0451-82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APC anti-mouse CD45 monoclonal antibody [30-F11]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103112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Default="00311646" w:rsidP="000B02B0">
            <w:pPr>
              <w:spacing w:line="276" w:lineRule="auto"/>
            </w:pPr>
            <w:r>
              <w:t>Brilliant Violet 570</w:t>
            </w:r>
            <w:r>
              <w:rPr>
                <w:rFonts w:cstheme="minorHAnsi"/>
              </w:rPr>
              <w:t xml:space="preserve">™ anti-mouse Ly-6C </w:t>
            </w:r>
            <w:r>
              <w:t xml:space="preserve">monoclonal </w:t>
            </w:r>
            <w:r>
              <w:rPr>
                <w:rFonts w:cstheme="minorHAnsi"/>
              </w:rPr>
              <w:t>antibody [HK1.4]</w:t>
            </w:r>
          </w:p>
        </w:tc>
        <w:tc>
          <w:tcPr>
            <w:tcW w:w="1667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128030</w:t>
            </w:r>
          </w:p>
        </w:tc>
      </w:tr>
      <w:tr w:rsidR="00311646" w:rsidTr="000B02B0">
        <w:tc>
          <w:tcPr>
            <w:tcW w:w="1667" w:type="pct"/>
            <w:vAlign w:val="center"/>
          </w:tcPr>
          <w:p w:rsidR="00311646" w:rsidRPr="00CB42DB" w:rsidRDefault="00311646" w:rsidP="000B02B0">
            <w:pPr>
              <w:spacing w:line="276" w:lineRule="auto"/>
            </w:pPr>
            <w:r>
              <w:t>APC/Cyanine7 anti-mouse Ly-6G monoclonal antibody [1A8]</w:t>
            </w:r>
          </w:p>
        </w:tc>
        <w:tc>
          <w:tcPr>
            <w:tcW w:w="1667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666" w:type="pct"/>
            <w:vAlign w:val="center"/>
          </w:tcPr>
          <w:p w:rsidR="00311646" w:rsidRPr="00CB42DB" w:rsidRDefault="00311646" w:rsidP="000B02B0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Cat# 127624</w:t>
            </w:r>
          </w:p>
        </w:tc>
      </w:tr>
    </w:tbl>
    <w:p w:rsidR="00311646" w:rsidRDefault="00311646" w:rsidP="00311646">
      <w:pPr>
        <w:spacing w:after="120"/>
        <w:contextualSpacing w:val="0"/>
        <w:rPr>
          <w:b/>
        </w:rPr>
      </w:pPr>
    </w:p>
    <w:p w:rsidR="00311646" w:rsidRDefault="00311646" w:rsidP="00311646">
      <w:pPr>
        <w:spacing w:after="120"/>
        <w:contextualSpacing w:val="0"/>
      </w:pPr>
      <w:r>
        <w:rPr>
          <w:b/>
        </w:rPr>
        <w:t>Table S2.</w:t>
      </w:r>
      <w:r>
        <w:t xml:space="preserve"> </w:t>
      </w:r>
      <w:r>
        <w:rPr>
          <w:b/>
        </w:rPr>
        <w:t>Primer sequences for reverse transcription-quantitative PCR.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3957"/>
        <w:gridCol w:w="4369"/>
      </w:tblGrid>
      <w:tr w:rsidR="00311646" w:rsidTr="000B02B0"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1646" w:rsidRDefault="00311646" w:rsidP="000B02B0">
            <w:pPr>
              <w:spacing w:line="360" w:lineRule="auto"/>
            </w:pPr>
            <w:r>
              <w:t>Gene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1646" w:rsidRDefault="00311646" w:rsidP="000B02B0">
            <w:pPr>
              <w:spacing w:line="360" w:lineRule="auto"/>
            </w:pPr>
            <w:r>
              <w:t>Primer forward (5’ - 3’)</w:t>
            </w:r>
          </w:p>
        </w:tc>
        <w:tc>
          <w:tcPr>
            <w:tcW w:w="2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1646" w:rsidRDefault="00311646" w:rsidP="000B02B0">
            <w:pPr>
              <w:spacing w:line="360" w:lineRule="auto"/>
            </w:pPr>
            <w:r>
              <w:t>Primer reverse (5’ - 3’)</w:t>
            </w:r>
          </w:p>
        </w:tc>
      </w:tr>
      <w:tr w:rsidR="00311646" w:rsidTr="000B02B0">
        <w:tc>
          <w:tcPr>
            <w:tcW w:w="653" w:type="pct"/>
            <w:vAlign w:val="center"/>
          </w:tcPr>
          <w:p w:rsidR="00311646" w:rsidRPr="002A6CCC" w:rsidRDefault="00311646" w:rsidP="000B02B0">
            <w:pPr>
              <w:spacing w:line="360" w:lineRule="auto"/>
              <w:jc w:val="both"/>
              <w:rPr>
                <w:i/>
              </w:rPr>
            </w:pPr>
            <w:r>
              <w:rPr>
                <w:i/>
              </w:rPr>
              <w:t>Cxcl13</w:t>
            </w:r>
          </w:p>
        </w:tc>
        <w:tc>
          <w:tcPr>
            <w:tcW w:w="2066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CTCCAGGCCACGGTATTCTG </w:t>
            </w:r>
          </w:p>
        </w:tc>
        <w:tc>
          <w:tcPr>
            <w:tcW w:w="2281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CCAGGGGGCGTAACTTGAAT </w:t>
            </w:r>
          </w:p>
        </w:tc>
      </w:tr>
      <w:tr w:rsidR="00311646" w:rsidTr="000B02B0">
        <w:tc>
          <w:tcPr>
            <w:tcW w:w="653" w:type="pct"/>
            <w:vAlign w:val="center"/>
          </w:tcPr>
          <w:p w:rsidR="00311646" w:rsidRPr="002A6CCC" w:rsidRDefault="00311646" w:rsidP="000B02B0">
            <w:pPr>
              <w:spacing w:line="36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Hprt</w:t>
            </w:r>
            <w:proofErr w:type="spellEnd"/>
          </w:p>
        </w:tc>
        <w:tc>
          <w:tcPr>
            <w:tcW w:w="2066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GTCATGTCGACCCTCAGTCC </w:t>
            </w:r>
          </w:p>
        </w:tc>
        <w:tc>
          <w:tcPr>
            <w:tcW w:w="2281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GCAAGTCTTTCAGTCCTGTCC </w:t>
            </w:r>
          </w:p>
        </w:tc>
      </w:tr>
      <w:tr w:rsidR="00311646" w:rsidTr="000B02B0">
        <w:tc>
          <w:tcPr>
            <w:tcW w:w="653" w:type="pct"/>
            <w:vAlign w:val="center"/>
          </w:tcPr>
          <w:p w:rsidR="00311646" w:rsidRPr="002A6CCC" w:rsidRDefault="00311646" w:rsidP="000B02B0">
            <w:pPr>
              <w:spacing w:line="360" w:lineRule="auto"/>
              <w:rPr>
                <w:i/>
              </w:rPr>
            </w:pPr>
            <w:r>
              <w:rPr>
                <w:i/>
              </w:rPr>
              <w:t>Il1b</w:t>
            </w:r>
          </w:p>
        </w:tc>
        <w:tc>
          <w:tcPr>
            <w:tcW w:w="2066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GCAACTGTTCCTGAACTCAACT </w:t>
            </w:r>
          </w:p>
        </w:tc>
        <w:tc>
          <w:tcPr>
            <w:tcW w:w="2281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ATCTTTTGGGGTCCGTCAACT </w:t>
            </w:r>
          </w:p>
        </w:tc>
      </w:tr>
      <w:tr w:rsidR="00311646" w:rsidTr="000B02B0">
        <w:tc>
          <w:tcPr>
            <w:tcW w:w="653" w:type="pct"/>
            <w:vAlign w:val="center"/>
          </w:tcPr>
          <w:p w:rsidR="00311646" w:rsidRPr="002A6CCC" w:rsidRDefault="00311646" w:rsidP="000B02B0">
            <w:pPr>
              <w:spacing w:line="360" w:lineRule="auto"/>
              <w:rPr>
                <w:i/>
              </w:rPr>
            </w:pPr>
            <w:r>
              <w:rPr>
                <w:i/>
              </w:rPr>
              <w:t>Pgk1</w:t>
            </w:r>
          </w:p>
        </w:tc>
        <w:tc>
          <w:tcPr>
            <w:tcW w:w="2066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GTCGTGATGAGGGTGGACTT </w:t>
            </w:r>
          </w:p>
        </w:tc>
        <w:tc>
          <w:tcPr>
            <w:tcW w:w="2281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AACGGACTTGGCTCCATTGT </w:t>
            </w:r>
          </w:p>
        </w:tc>
      </w:tr>
      <w:tr w:rsidR="00311646" w:rsidTr="000B02B0">
        <w:tc>
          <w:tcPr>
            <w:tcW w:w="653" w:type="pct"/>
            <w:vAlign w:val="center"/>
          </w:tcPr>
          <w:p w:rsidR="00311646" w:rsidRPr="002A6CCC" w:rsidRDefault="00311646" w:rsidP="000B02B0">
            <w:pPr>
              <w:spacing w:line="360" w:lineRule="auto"/>
              <w:rPr>
                <w:i/>
              </w:rPr>
            </w:pPr>
            <w:proofErr w:type="spellStart"/>
            <w:r>
              <w:rPr>
                <w:i/>
              </w:rPr>
              <w:t>Tnf</w:t>
            </w:r>
            <w:proofErr w:type="spellEnd"/>
          </w:p>
        </w:tc>
        <w:tc>
          <w:tcPr>
            <w:tcW w:w="2066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TAGCCCACGTCGTAGCAAAC </w:t>
            </w:r>
          </w:p>
        </w:tc>
        <w:tc>
          <w:tcPr>
            <w:tcW w:w="2281" w:type="pct"/>
            <w:vAlign w:val="center"/>
          </w:tcPr>
          <w:p w:rsidR="00311646" w:rsidRDefault="00311646" w:rsidP="000B02B0">
            <w:pPr>
              <w:pStyle w:val="Default"/>
            </w:pPr>
            <w:r>
              <w:rPr>
                <w:sz w:val="22"/>
                <w:szCs w:val="22"/>
              </w:rPr>
              <w:t xml:space="preserve">GCAGCCTTGTCCCTTGAAGA </w:t>
            </w:r>
          </w:p>
        </w:tc>
      </w:tr>
    </w:tbl>
    <w:p w:rsidR="00311646" w:rsidRDefault="00311646" w:rsidP="00311646"/>
    <w:p w:rsidR="00AC60B7" w:rsidRDefault="00AC60B7"/>
    <w:sectPr w:rsidR="00AC6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46"/>
    <w:rsid w:val="000A1B8D"/>
    <w:rsid w:val="00311646"/>
    <w:rsid w:val="00AC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46"/>
    <w:pPr>
      <w:spacing w:after="0" w:line="259" w:lineRule="auto"/>
      <w:contextualSpacing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6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116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6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6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46"/>
    <w:pPr>
      <w:spacing w:after="0" w:line="259" w:lineRule="auto"/>
      <w:contextualSpacing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6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116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6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Cabanag Daitan</dc:creator>
  <cp:lastModifiedBy>Daisy Cabanag Daitan</cp:lastModifiedBy>
  <cp:revision>2</cp:revision>
  <dcterms:created xsi:type="dcterms:W3CDTF">2026-06-20T03:35:00Z</dcterms:created>
  <dcterms:modified xsi:type="dcterms:W3CDTF">2026-06-20T03:40:00Z</dcterms:modified>
</cp:coreProperties>
</file>