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7572" w14:textId="77777777" w:rsidR="00E77B4E" w:rsidRDefault="00D1301E" w:rsidP="00E77B4E">
      <w:pPr>
        <w:spacing w:line="480" w:lineRule="auto"/>
        <w:rPr>
          <w:color w:val="000000" w:themeColor="text1"/>
          <w:sz w:val="24"/>
          <w:szCs w:val="24"/>
        </w:rPr>
      </w:pPr>
      <w:r>
        <w:rPr>
          <w:noProof/>
          <w:lang w:eastAsia="en-US"/>
        </w:rPr>
        <w:drawing>
          <wp:anchor distT="0" distB="0" distL="114300" distR="114300" simplePos="0" relativeHeight="251650560" behindDoc="1" locked="0" layoutInCell="1" allowOverlap="1" wp14:anchorId="667261F3" wp14:editId="4D24999E">
            <wp:simplePos x="0" y="0"/>
            <wp:positionH relativeFrom="margin">
              <wp:posOffset>-175260</wp:posOffset>
            </wp:positionH>
            <wp:positionV relativeFrom="paragraph">
              <wp:posOffset>474345</wp:posOffset>
            </wp:positionV>
            <wp:extent cx="6408420" cy="3157855"/>
            <wp:effectExtent l="0" t="0" r="0" b="4445"/>
            <wp:wrapNone/>
            <wp:docPr id="12160739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8420" cy="315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B52A8" w14:textId="77777777" w:rsidR="00E77B4E" w:rsidRDefault="00E77B4E" w:rsidP="00E77B4E">
      <w:pPr>
        <w:spacing w:line="480" w:lineRule="auto"/>
        <w:rPr>
          <w:color w:val="EE0000"/>
          <w:sz w:val="24"/>
          <w:szCs w:val="24"/>
        </w:rPr>
      </w:pPr>
    </w:p>
    <w:p w14:paraId="36BED25F" w14:textId="77777777" w:rsidR="00E77B4E" w:rsidRDefault="00E77B4E" w:rsidP="00E77B4E">
      <w:pPr>
        <w:spacing w:line="480" w:lineRule="auto"/>
        <w:rPr>
          <w:color w:val="EE0000"/>
          <w:sz w:val="24"/>
          <w:szCs w:val="24"/>
        </w:rPr>
      </w:pPr>
    </w:p>
    <w:p w14:paraId="51994A19" w14:textId="77777777" w:rsidR="00E77B4E" w:rsidRDefault="00E77B4E" w:rsidP="00E77B4E">
      <w:pPr>
        <w:spacing w:line="480" w:lineRule="auto"/>
        <w:rPr>
          <w:color w:val="EE0000"/>
          <w:sz w:val="24"/>
          <w:szCs w:val="24"/>
        </w:rPr>
      </w:pPr>
    </w:p>
    <w:p w14:paraId="00BC74C8" w14:textId="77777777" w:rsidR="00E77B4E" w:rsidRDefault="00E77B4E" w:rsidP="00E77B4E">
      <w:pPr>
        <w:spacing w:line="480" w:lineRule="auto"/>
        <w:rPr>
          <w:color w:val="EE0000"/>
          <w:sz w:val="24"/>
          <w:szCs w:val="24"/>
        </w:rPr>
      </w:pPr>
    </w:p>
    <w:p w14:paraId="58D8CC02" w14:textId="77777777" w:rsidR="00E77B4E" w:rsidRDefault="00E77B4E" w:rsidP="00E77B4E">
      <w:pPr>
        <w:spacing w:line="480" w:lineRule="auto"/>
        <w:rPr>
          <w:color w:val="EE0000"/>
          <w:sz w:val="24"/>
          <w:szCs w:val="24"/>
        </w:rPr>
      </w:pPr>
    </w:p>
    <w:p w14:paraId="10176124" w14:textId="77777777" w:rsidR="00E77B4E" w:rsidRDefault="00E77B4E" w:rsidP="00E77B4E">
      <w:pPr>
        <w:spacing w:line="480" w:lineRule="auto"/>
        <w:rPr>
          <w:color w:val="EE0000"/>
          <w:sz w:val="24"/>
          <w:szCs w:val="24"/>
        </w:rPr>
      </w:pPr>
    </w:p>
    <w:p w14:paraId="6BF65D0B" w14:textId="77777777" w:rsidR="00E77B4E" w:rsidRPr="00EC37CB" w:rsidRDefault="00E77B4E" w:rsidP="00E77B4E">
      <w:pPr>
        <w:spacing w:line="480" w:lineRule="auto"/>
        <w:rPr>
          <w:color w:val="EE0000"/>
          <w:sz w:val="24"/>
          <w:szCs w:val="24"/>
        </w:rPr>
      </w:pPr>
    </w:p>
    <w:p w14:paraId="655C6D53" w14:textId="77777777" w:rsidR="00E77B4E" w:rsidRDefault="00E77B4E" w:rsidP="00E77B4E">
      <w:pPr>
        <w:widowControl/>
        <w:shd w:val="clear" w:color="auto" w:fill="FFFFFF"/>
        <w:spacing w:before="240" w:after="0" w:line="480" w:lineRule="auto"/>
        <w:jc w:val="left"/>
        <w:rPr>
          <w:rFonts w:eastAsia="宋体"/>
          <w:b/>
          <w:bCs/>
          <w:color w:val="000000" w:themeColor="text1"/>
          <w:kern w:val="0"/>
          <w:sz w:val="24"/>
          <w:szCs w:val="24"/>
        </w:rPr>
      </w:pPr>
    </w:p>
    <w:p w14:paraId="25DAEC96" w14:textId="77777777" w:rsidR="00E77B4E" w:rsidRPr="003D483A" w:rsidRDefault="00E77B4E" w:rsidP="00E77B4E">
      <w:pPr>
        <w:widowControl/>
        <w:shd w:val="clear" w:color="auto" w:fill="FFFFFF"/>
        <w:spacing w:before="240" w:after="0" w:line="480" w:lineRule="auto"/>
        <w:jc w:val="left"/>
        <w:rPr>
          <w:rFonts w:eastAsia="宋体"/>
          <w:b/>
          <w:bCs/>
          <w:color w:val="000000" w:themeColor="text1"/>
          <w:kern w:val="0"/>
          <w:sz w:val="24"/>
          <w:szCs w:val="24"/>
        </w:rPr>
      </w:pPr>
      <w:r w:rsidRPr="003D483A">
        <w:rPr>
          <w:rFonts w:eastAsia="宋体"/>
          <w:b/>
          <w:bCs/>
          <w:color w:val="000000" w:themeColor="text1"/>
          <w:kern w:val="0"/>
          <w:sz w:val="24"/>
          <w:szCs w:val="24"/>
        </w:rPr>
        <w:t>Supplementary Figure 1. TYK2 phosphorylation is elevated in splenic</w:t>
      </w:r>
      <w:r>
        <w:rPr>
          <w:rFonts w:eastAsia="宋体" w:hint="eastAsia"/>
          <w:b/>
          <w:bCs/>
          <w:color w:val="000000" w:themeColor="text1"/>
          <w:kern w:val="0"/>
          <w:sz w:val="24"/>
          <w:szCs w:val="24"/>
        </w:rPr>
        <w:t xml:space="preserve"> </w:t>
      </w:r>
      <w:r w:rsidRPr="003D483A">
        <w:rPr>
          <w:rFonts w:eastAsia="宋体"/>
          <w:b/>
          <w:bCs/>
          <w:color w:val="000000" w:themeColor="text1"/>
          <w:kern w:val="0"/>
          <w:sz w:val="24"/>
          <w:szCs w:val="24"/>
        </w:rPr>
        <w:t>CD4+ T cell</w:t>
      </w:r>
      <w:r>
        <w:rPr>
          <w:rFonts w:eastAsia="宋体" w:hint="eastAsia"/>
          <w:b/>
          <w:bCs/>
          <w:color w:val="000000" w:themeColor="text1"/>
          <w:kern w:val="0"/>
          <w:sz w:val="24"/>
          <w:szCs w:val="24"/>
        </w:rPr>
        <w:t xml:space="preserve"> </w:t>
      </w:r>
      <w:r w:rsidRPr="003D483A">
        <w:rPr>
          <w:rFonts w:eastAsia="宋体"/>
          <w:b/>
          <w:bCs/>
          <w:color w:val="000000" w:themeColor="text1"/>
          <w:kern w:val="0"/>
          <w:sz w:val="24"/>
          <w:szCs w:val="24"/>
        </w:rPr>
        <w:t>subsets in EAU and EAE models</w:t>
      </w:r>
    </w:p>
    <w:p w14:paraId="5AB2EB64"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r w:rsidRPr="00301377">
        <w:rPr>
          <w:rFonts w:eastAsia="宋体"/>
          <w:b/>
          <w:bCs/>
          <w:color w:val="000000" w:themeColor="text1"/>
          <w:kern w:val="0"/>
          <w:sz w:val="24"/>
          <w:szCs w:val="24"/>
        </w:rPr>
        <w:t>(A)</w:t>
      </w:r>
      <w:r w:rsidRPr="00301377">
        <w:rPr>
          <w:rFonts w:eastAsia="宋体"/>
          <w:color w:val="000000" w:themeColor="text1"/>
          <w:kern w:val="0"/>
          <w:sz w:val="24"/>
          <w:szCs w:val="24"/>
        </w:rPr>
        <w:t xml:space="preserve"> Expression of p-TYK2 in CD4+ T cells and </w:t>
      </w:r>
      <w:r w:rsidRPr="00FA3FC0">
        <w:rPr>
          <w:rFonts w:eastAsia="宋体"/>
          <w:color w:val="000000" w:themeColor="text1"/>
          <w:kern w:val="0"/>
          <w:sz w:val="24"/>
          <w:szCs w:val="24"/>
        </w:rPr>
        <w:t>naive CD4+ T cells</w:t>
      </w:r>
      <w:r>
        <w:rPr>
          <w:rFonts w:eastAsia="宋体" w:hint="eastAsia"/>
          <w:color w:val="000000" w:themeColor="text1"/>
          <w:kern w:val="0"/>
          <w:sz w:val="24"/>
          <w:szCs w:val="24"/>
        </w:rPr>
        <w:t>,</w:t>
      </w:r>
      <w:r w:rsidRPr="00FA3FC0">
        <w:rPr>
          <w:rFonts w:eastAsia="宋体"/>
          <w:color w:val="000000" w:themeColor="text1"/>
          <w:kern w:val="0"/>
          <w:sz w:val="24"/>
          <w:szCs w:val="24"/>
        </w:rPr>
        <w:t xml:space="preserve"> </w:t>
      </w:r>
      <w:r w:rsidRPr="00301377">
        <w:rPr>
          <w:rFonts w:eastAsia="宋体"/>
          <w:color w:val="000000" w:themeColor="text1"/>
          <w:kern w:val="0"/>
          <w:sz w:val="24"/>
          <w:szCs w:val="24"/>
        </w:rPr>
        <w:t xml:space="preserve">Th1, Th17, and Treg subsets from the spleens of naive mice and EAU mice. </w:t>
      </w:r>
      <w:r w:rsidRPr="00301377">
        <w:rPr>
          <w:rFonts w:eastAsia="宋体"/>
          <w:b/>
          <w:bCs/>
          <w:color w:val="000000" w:themeColor="text1"/>
          <w:kern w:val="0"/>
          <w:sz w:val="24"/>
          <w:szCs w:val="24"/>
        </w:rPr>
        <w:t>(B)</w:t>
      </w:r>
      <w:r w:rsidRPr="00301377">
        <w:rPr>
          <w:rFonts w:eastAsia="宋体"/>
          <w:color w:val="000000" w:themeColor="text1"/>
          <w:kern w:val="0"/>
          <w:sz w:val="24"/>
          <w:szCs w:val="24"/>
        </w:rPr>
        <w:t xml:space="preserve"> Corresponding levels of total TYK2 in the same splenic CD4+ populations from the EAU model. </w:t>
      </w:r>
      <w:r w:rsidRPr="00301377">
        <w:rPr>
          <w:rFonts w:eastAsia="宋体"/>
          <w:b/>
          <w:bCs/>
          <w:color w:val="000000" w:themeColor="text1"/>
          <w:kern w:val="0"/>
          <w:sz w:val="24"/>
          <w:szCs w:val="24"/>
        </w:rPr>
        <w:t>(C)</w:t>
      </w:r>
      <w:r w:rsidRPr="00301377">
        <w:rPr>
          <w:rFonts w:eastAsia="宋体"/>
          <w:color w:val="000000" w:themeColor="text1"/>
          <w:kern w:val="0"/>
          <w:sz w:val="24"/>
          <w:szCs w:val="24"/>
        </w:rPr>
        <w:t xml:space="preserve"> Expression of p-TYK2 in CD4+ T cells and indicated subsets from the spleens of naive mice and EAE mice. </w:t>
      </w:r>
      <w:r w:rsidRPr="00301377">
        <w:rPr>
          <w:rFonts w:eastAsia="宋体"/>
          <w:b/>
          <w:bCs/>
          <w:color w:val="000000" w:themeColor="text1"/>
          <w:kern w:val="0"/>
          <w:sz w:val="24"/>
          <w:szCs w:val="24"/>
        </w:rPr>
        <w:t>(D)</w:t>
      </w:r>
      <w:r w:rsidRPr="00301377">
        <w:rPr>
          <w:rFonts w:eastAsia="宋体"/>
          <w:color w:val="000000" w:themeColor="text1"/>
          <w:kern w:val="0"/>
          <w:sz w:val="24"/>
          <w:szCs w:val="24"/>
        </w:rPr>
        <w:t xml:space="preserve"> Corresponding levels of total TYK2 in splenic CD4+ populations from the EAE model. Data are presented as mean ± SEM (n = 5). Statistical significance was determined by unpaired two-tailed Student’s t-test or two-way ANOVA followed by post-hoc multiple comparisons test (*p &lt; 0.05, **p &lt; 0.01, and ***p &lt; 0.001, ****p &lt; 0.0001, ns, not significant).</w:t>
      </w:r>
    </w:p>
    <w:p w14:paraId="1CFD3E50" w14:textId="77777777" w:rsidR="00E77B4E" w:rsidRDefault="00E77B4E" w:rsidP="00E77B4E">
      <w:pPr>
        <w:spacing w:line="480" w:lineRule="auto"/>
        <w:rPr>
          <w:color w:val="000000" w:themeColor="text1"/>
          <w:sz w:val="24"/>
          <w:szCs w:val="24"/>
        </w:rPr>
      </w:pPr>
    </w:p>
    <w:p w14:paraId="3A4C3484" w14:textId="77777777" w:rsidR="00E77B4E" w:rsidRPr="00C9150C" w:rsidRDefault="00E77B4E" w:rsidP="00E77B4E">
      <w:pPr>
        <w:spacing w:line="480" w:lineRule="auto"/>
        <w:rPr>
          <w:color w:val="000000" w:themeColor="text1"/>
          <w:sz w:val="24"/>
          <w:szCs w:val="24"/>
        </w:rPr>
      </w:pPr>
      <w:r>
        <w:rPr>
          <w:noProof/>
          <w:lang w:eastAsia="en-US"/>
        </w:rPr>
        <w:lastRenderedPageBreak/>
        <w:drawing>
          <wp:anchor distT="0" distB="0" distL="114300" distR="114300" simplePos="0" relativeHeight="251661312" behindDoc="0" locked="0" layoutInCell="1" allowOverlap="1" wp14:anchorId="3D4B4EAB" wp14:editId="0D15DBBA">
            <wp:simplePos x="0" y="0"/>
            <wp:positionH relativeFrom="margin">
              <wp:posOffset>-24956</wp:posOffset>
            </wp:positionH>
            <wp:positionV relativeFrom="paragraph">
              <wp:posOffset>113958</wp:posOffset>
            </wp:positionV>
            <wp:extent cx="5927197" cy="8037768"/>
            <wp:effectExtent l="0" t="0" r="0" b="1905"/>
            <wp:wrapNone/>
            <wp:docPr id="11333537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7197" cy="80377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7814D" w14:textId="77777777" w:rsidR="00E77B4E" w:rsidRDefault="00E77B4E" w:rsidP="00E77B4E">
      <w:pPr>
        <w:spacing w:line="480" w:lineRule="auto"/>
        <w:rPr>
          <w:color w:val="000000" w:themeColor="text1"/>
          <w:sz w:val="24"/>
          <w:szCs w:val="24"/>
        </w:rPr>
      </w:pPr>
    </w:p>
    <w:p w14:paraId="2178162E" w14:textId="77777777" w:rsidR="00E77B4E" w:rsidRDefault="00E77B4E" w:rsidP="00E77B4E">
      <w:pPr>
        <w:spacing w:line="480" w:lineRule="auto"/>
        <w:rPr>
          <w:color w:val="000000" w:themeColor="text1"/>
          <w:sz w:val="24"/>
          <w:szCs w:val="24"/>
        </w:rPr>
      </w:pPr>
    </w:p>
    <w:p w14:paraId="16F7A6D3" w14:textId="77777777" w:rsidR="00E77B4E" w:rsidRDefault="00E77B4E" w:rsidP="00E77B4E">
      <w:pPr>
        <w:spacing w:line="480" w:lineRule="auto"/>
        <w:rPr>
          <w:color w:val="000000" w:themeColor="text1"/>
          <w:sz w:val="24"/>
          <w:szCs w:val="24"/>
        </w:rPr>
      </w:pPr>
    </w:p>
    <w:p w14:paraId="35C7A466" w14:textId="77777777" w:rsidR="00E77B4E" w:rsidRDefault="00E77B4E" w:rsidP="00E77B4E">
      <w:pPr>
        <w:spacing w:line="480" w:lineRule="auto"/>
        <w:rPr>
          <w:color w:val="000000" w:themeColor="text1"/>
          <w:sz w:val="24"/>
          <w:szCs w:val="24"/>
        </w:rPr>
      </w:pPr>
    </w:p>
    <w:p w14:paraId="46FABC4A" w14:textId="77777777" w:rsidR="00E77B4E" w:rsidRDefault="00E77B4E" w:rsidP="00E77B4E">
      <w:pPr>
        <w:spacing w:line="480" w:lineRule="auto"/>
        <w:rPr>
          <w:color w:val="000000" w:themeColor="text1"/>
          <w:sz w:val="24"/>
          <w:szCs w:val="24"/>
        </w:rPr>
      </w:pPr>
    </w:p>
    <w:p w14:paraId="1C16378E" w14:textId="77777777" w:rsidR="00E77B4E" w:rsidRDefault="00E77B4E" w:rsidP="00E77B4E">
      <w:pPr>
        <w:spacing w:line="480" w:lineRule="auto"/>
        <w:rPr>
          <w:color w:val="000000" w:themeColor="text1"/>
          <w:sz w:val="24"/>
          <w:szCs w:val="24"/>
        </w:rPr>
      </w:pPr>
    </w:p>
    <w:p w14:paraId="1B5DFFCE" w14:textId="77777777" w:rsidR="00E77B4E" w:rsidRDefault="00E77B4E" w:rsidP="00E77B4E">
      <w:pPr>
        <w:spacing w:line="480" w:lineRule="auto"/>
        <w:rPr>
          <w:color w:val="000000" w:themeColor="text1"/>
          <w:sz w:val="24"/>
          <w:szCs w:val="24"/>
        </w:rPr>
      </w:pPr>
    </w:p>
    <w:p w14:paraId="002B44AD" w14:textId="77777777" w:rsidR="00E77B4E" w:rsidRDefault="00E77B4E" w:rsidP="00E77B4E">
      <w:pPr>
        <w:spacing w:line="480" w:lineRule="auto"/>
        <w:rPr>
          <w:color w:val="000000" w:themeColor="text1"/>
          <w:sz w:val="24"/>
          <w:szCs w:val="24"/>
        </w:rPr>
      </w:pPr>
    </w:p>
    <w:p w14:paraId="16F6553A" w14:textId="77777777" w:rsidR="00E77B4E" w:rsidRDefault="00E77B4E" w:rsidP="00E77B4E">
      <w:pPr>
        <w:spacing w:line="480" w:lineRule="auto"/>
        <w:rPr>
          <w:color w:val="000000" w:themeColor="text1"/>
          <w:sz w:val="24"/>
          <w:szCs w:val="24"/>
        </w:rPr>
      </w:pPr>
    </w:p>
    <w:p w14:paraId="03304447" w14:textId="77777777" w:rsidR="00E77B4E" w:rsidRDefault="00E77B4E" w:rsidP="00E77B4E">
      <w:pPr>
        <w:spacing w:line="480" w:lineRule="auto"/>
        <w:rPr>
          <w:color w:val="000000" w:themeColor="text1"/>
          <w:sz w:val="24"/>
          <w:szCs w:val="24"/>
        </w:rPr>
      </w:pPr>
    </w:p>
    <w:p w14:paraId="6DB80E18" w14:textId="77777777" w:rsidR="00E77B4E" w:rsidRDefault="00E77B4E" w:rsidP="00E77B4E">
      <w:pPr>
        <w:spacing w:line="480" w:lineRule="auto"/>
        <w:rPr>
          <w:color w:val="000000" w:themeColor="text1"/>
          <w:sz w:val="24"/>
          <w:szCs w:val="24"/>
        </w:rPr>
      </w:pPr>
    </w:p>
    <w:p w14:paraId="4901AADC" w14:textId="77777777" w:rsidR="00E77B4E" w:rsidRDefault="00E77B4E" w:rsidP="00E77B4E">
      <w:pPr>
        <w:spacing w:line="480" w:lineRule="auto"/>
        <w:rPr>
          <w:color w:val="000000" w:themeColor="text1"/>
          <w:sz w:val="24"/>
          <w:szCs w:val="24"/>
        </w:rPr>
      </w:pPr>
    </w:p>
    <w:p w14:paraId="60048B84" w14:textId="77777777" w:rsidR="00E77B4E" w:rsidRDefault="00E77B4E" w:rsidP="00E77B4E">
      <w:pPr>
        <w:spacing w:line="480" w:lineRule="auto"/>
        <w:rPr>
          <w:color w:val="000000" w:themeColor="text1"/>
          <w:sz w:val="24"/>
          <w:szCs w:val="24"/>
        </w:rPr>
      </w:pPr>
    </w:p>
    <w:p w14:paraId="29693FBD" w14:textId="77777777" w:rsidR="00E77B4E" w:rsidRDefault="00E77B4E" w:rsidP="00E77B4E">
      <w:pPr>
        <w:spacing w:line="480" w:lineRule="auto"/>
        <w:rPr>
          <w:color w:val="000000" w:themeColor="text1"/>
          <w:sz w:val="24"/>
          <w:szCs w:val="24"/>
        </w:rPr>
      </w:pPr>
    </w:p>
    <w:p w14:paraId="45BF0802" w14:textId="77777777" w:rsidR="00E77B4E" w:rsidRDefault="00E77B4E" w:rsidP="00E77B4E">
      <w:pPr>
        <w:spacing w:line="480" w:lineRule="auto"/>
        <w:rPr>
          <w:color w:val="000000" w:themeColor="text1"/>
          <w:sz w:val="24"/>
          <w:szCs w:val="24"/>
        </w:rPr>
      </w:pPr>
    </w:p>
    <w:p w14:paraId="4CA3001B" w14:textId="77777777" w:rsidR="00E77B4E" w:rsidRPr="00C35083" w:rsidRDefault="00E77B4E" w:rsidP="00E77B4E">
      <w:pPr>
        <w:spacing w:line="480" w:lineRule="auto"/>
        <w:rPr>
          <w:color w:val="000000" w:themeColor="text1"/>
          <w:sz w:val="24"/>
          <w:szCs w:val="24"/>
        </w:rPr>
      </w:pPr>
    </w:p>
    <w:p w14:paraId="2447DB4F" w14:textId="2951389F" w:rsidR="00E77B4E" w:rsidRPr="00301377" w:rsidRDefault="00E77B4E" w:rsidP="00E77B4E">
      <w:pPr>
        <w:widowControl/>
        <w:shd w:val="clear" w:color="auto" w:fill="FFFFFF"/>
        <w:spacing w:before="240" w:after="0" w:line="480" w:lineRule="auto"/>
        <w:jc w:val="left"/>
        <w:rPr>
          <w:rFonts w:eastAsia="宋体"/>
          <w:color w:val="000000" w:themeColor="text1"/>
          <w:kern w:val="0"/>
          <w:sz w:val="24"/>
          <w:szCs w:val="24"/>
        </w:rPr>
      </w:pPr>
      <w:r w:rsidRPr="00301377">
        <w:rPr>
          <w:rFonts w:eastAsia="宋体"/>
          <w:b/>
          <w:bCs/>
          <w:color w:val="000000" w:themeColor="text1"/>
          <w:kern w:val="0"/>
          <w:sz w:val="24"/>
          <w:szCs w:val="24"/>
        </w:rPr>
        <w:lastRenderedPageBreak/>
        <w:t xml:space="preserve">Supplementary Figure 2. TYK2 inhibition </w:t>
      </w:r>
      <w:r>
        <w:rPr>
          <w:rFonts w:eastAsia="宋体" w:hint="eastAsia"/>
          <w:b/>
          <w:bCs/>
          <w:color w:val="000000" w:themeColor="text1"/>
          <w:kern w:val="0"/>
          <w:sz w:val="24"/>
          <w:szCs w:val="24"/>
        </w:rPr>
        <w:t xml:space="preserve">from day 7 </w:t>
      </w:r>
      <w:r w:rsidRPr="003F58AA">
        <w:rPr>
          <w:rFonts w:eastAsia="宋体"/>
          <w:b/>
          <w:bCs/>
          <w:color w:val="000000" w:themeColor="text1"/>
          <w:kern w:val="0"/>
          <w:sz w:val="24"/>
          <w:szCs w:val="24"/>
        </w:rPr>
        <w:t>ameliorates</w:t>
      </w:r>
      <w:r w:rsidRPr="00301377">
        <w:rPr>
          <w:rFonts w:eastAsia="宋体"/>
          <w:b/>
          <w:bCs/>
          <w:color w:val="000000" w:themeColor="text1"/>
          <w:kern w:val="0"/>
          <w:sz w:val="24"/>
          <w:szCs w:val="24"/>
        </w:rPr>
        <w:t xml:space="preserve"> clinical severity and suppresses pathogenic T cell responses in established EAU.</w:t>
      </w:r>
      <w:r w:rsidRPr="00301377">
        <w:rPr>
          <w:rFonts w:eastAsia="宋体"/>
          <w:color w:val="000000" w:themeColor="text1"/>
          <w:kern w:val="0"/>
          <w:sz w:val="24"/>
          <w:szCs w:val="24"/>
        </w:rPr>
        <w:t xml:space="preserve"> </w:t>
      </w:r>
    </w:p>
    <w:p w14:paraId="73B534D2" w14:textId="3538348F" w:rsidR="00E77B4E" w:rsidRPr="00301377" w:rsidRDefault="00E77B4E" w:rsidP="00E77B4E">
      <w:pPr>
        <w:widowControl/>
        <w:shd w:val="clear" w:color="auto" w:fill="FFFFFF"/>
        <w:spacing w:before="240" w:after="0" w:line="480" w:lineRule="auto"/>
        <w:rPr>
          <w:color w:val="000000" w:themeColor="text1"/>
          <w:kern w:val="0"/>
          <w:sz w:val="24"/>
          <w:szCs w:val="24"/>
        </w:rPr>
      </w:pPr>
      <w:r w:rsidRPr="00301377">
        <w:rPr>
          <w:rFonts w:eastAsia="宋体"/>
          <w:b/>
          <w:bCs/>
          <w:color w:val="000000" w:themeColor="text1"/>
          <w:kern w:val="0"/>
          <w:sz w:val="24"/>
          <w:szCs w:val="24"/>
        </w:rPr>
        <w:t>(A)</w:t>
      </w:r>
      <w:r w:rsidRPr="00301377">
        <w:rPr>
          <w:rFonts w:eastAsia="宋体"/>
          <w:color w:val="000000" w:themeColor="text1"/>
          <w:kern w:val="0"/>
          <w:sz w:val="24"/>
          <w:szCs w:val="24"/>
        </w:rPr>
        <w:t xml:space="preserve"> Schematic of the treatment regimen. TYK2i or vehicle was administered daily starting from the onset of clinical symptoms (day 7 post-immunization). </w:t>
      </w:r>
      <w:r w:rsidRPr="00301377">
        <w:rPr>
          <w:rFonts w:eastAsia="宋体"/>
          <w:b/>
          <w:bCs/>
          <w:color w:val="000000" w:themeColor="text1"/>
          <w:kern w:val="0"/>
          <w:sz w:val="24"/>
          <w:szCs w:val="24"/>
        </w:rPr>
        <w:t>(B)</w:t>
      </w:r>
      <w:r w:rsidRPr="00301377">
        <w:rPr>
          <w:rFonts w:eastAsia="宋体"/>
          <w:color w:val="000000" w:themeColor="text1"/>
          <w:kern w:val="0"/>
          <w:sz w:val="24"/>
          <w:szCs w:val="24"/>
        </w:rPr>
        <w:t xml:space="preserve"> </w:t>
      </w:r>
      <w:r w:rsidRPr="00CC6716">
        <w:rPr>
          <w:rFonts w:eastAsia="宋体"/>
          <w:color w:val="000000" w:themeColor="text1"/>
          <w:kern w:val="0"/>
          <w:sz w:val="24"/>
          <w:szCs w:val="24"/>
        </w:rPr>
        <w:t>Representative fundus photographs and FFA images at day 0</w:t>
      </w:r>
      <w:r>
        <w:rPr>
          <w:rFonts w:eastAsia="宋体" w:hint="eastAsia"/>
          <w:color w:val="000000" w:themeColor="text1"/>
          <w:kern w:val="0"/>
          <w:sz w:val="24"/>
          <w:szCs w:val="24"/>
        </w:rPr>
        <w:t xml:space="preserve"> (healthy baseline)</w:t>
      </w:r>
      <w:r w:rsidRPr="00CC6716">
        <w:rPr>
          <w:rFonts w:eastAsia="宋体"/>
          <w:color w:val="000000" w:themeColor="text1"/>
          <w:kern w:val="0"/>
          <w:sz w:val="24"/>
          <w:szCs w:val="24"/>
        </w:rPr>
        <w:t>, day 7 (pre-treatment baseline), and day 14, as well as retinal H&amp;E sections with corresponding clinical and histopathological scores in vehicle- and TYK2i-treated mic</w:t>
      </w:r>
      <w:r>
        <w:rPr>
          <w:rFonts w:eastAsia="宋体" w:hint="eastAsia"/>
          <w:color w:val="000000" w:themeColor="text1"/>
          <w:kern w:val="0"/>
          <w:sz w:val="24"/>
          <w:szCs w:val="24"/>
        </w:rPr>
        <w:t>e</w:t>
      </w:r>
      <w:r w:rsidRPr="00301377">
        <w:rPr>
          <w:rFonts w:eastAsia="宋体"/>
          <w:color w:val="000000" w:themeColor="text1"/>
          <w:kern w:val="0"/>
          <w:sz w:val="24"/>
          <w:szCs w:val="24"/>
        </w:rPr>
        <w:t xml:space="preserve">. </w:t>
      </w:r>
      <w:r w:rsidRPr="00301377">
        <w:rPr>
          <w:rFonts w:eastAsia="宋体"/>
          <w:b/>
          <w:bCs/>
          <w:color w:val="000000" w:themeColor="text1"/>
          <w:kern w:val="0"/>
          <w:sz w:val="24"/>
          <w:szCs w:val="24"/>
        </w:rPr>
        <w:t>(C</w:t>
      </w:r>
      <w:r>
        <w:rPr>
          <w:rFonts w:eastAsia="宋体"/>
          <w:b/>
          <w:bCs/>
          <w:color w:val="000000" w:themeColor="text1"/>
          <w:kern w:val="0"/>
          <w:sz w:val="24"/>
          <w:szCs w:val="24"/>
        </w:rPr>
        <w:t xml:space="preserve">, </w:t>
      </w:r>
      <w:r w:rsidRPr="00301377">
        <w:rPr>
          <w:rFonts w:eastAsia="宋体"/>
          <w:b/>
          <w:bCs/>
          <w:color w:val="000000" w:themeColor="text1"/>
          <w:kern w:val="0"/>
          <w:sz w:val="24"/>
          <w:szCs w:val="24"/>
        </w:rPr>
        <w:t>D)</w:t>
      </w:r>
      <w:r w:rsidRPr="00301377">
        <w:rPr>
          <w:rFonts w:eastAsia="宋体"/>
          <w:color w:val="000000" w:themeColor="text1"/>
          <w:kern w:val="0"/>
          <w:sz w:val="24"/>
          <w:szCs w:val="24"/>
        </w:rPr>
        <w:t xml:space="preserve"> Representative flow cytometry plots and summary data showing the proportions of IFN-γ+, IL-17A+, </w:t>
      </w:r>
      <w:r w:rsidRPr="003D04B9">
        <w:rPr>
          <w:rFonts w:eastAsia="宋体"/>
          <w:color w:val="000000" w:themeColor="text1"/>
          <w:kern w:val="0"/>
          <w:sz w:val="24"/>
          <w:szCs w:val="24"/>
        </w:rPr>
        <w:t>GM-CSF+</w:t>
      </w:r>
      <w:r>
        <w:rPr>
          <w:rFonts w:eastAsia="宋体"/>
          <w:color w:val="000000" w:themeColor="text1"/>
          <w:kern w:val="0"/>
          <w:sz w:val="24"/>
          <w:szCs w:val="24"/>
        </w:rPr>
        <w:t xml:space="preserve">, and </w:t>
      </w:r>
      <w:r w:rsidRPr="003D04B9">
        <w:rPr>
          <w:rFonts w:eastAsia="宋体"/>
          <w:color w:val="000000" w:themeColor="text1"/>
          <w:kern w:val="0"/>
          <w:sz w:val="24"/>
          <w:szCs w:val="24"/>
        </w:rPr>
        <w:t>Foxp3</w:t>
      </w:r>
      <w:r>
        <w:rPr>
          <w:rFonts w:eastAsia="宋体"/>
          <w:color w:val="000000" w:themeColor="text1"/>
          <w:kern w:val="0"/>
          <w:sz w:val="24"/>
          <w:szCs w:val="24"/>
        </w:rPr>
        <w:t xml:space="preserve">+ </w:t>
      </w:r>
      <w:r w:rsidRPr="00301377">
        <w:rPr>
          <w:rFonts w:eastAsia="宋体"/>
          <w:color w:val="000000" w:themeColor="text1"/>
          <w:kern w:val="0"/>
          <w:sz w:val="24"/>
          <w:szCs w:val="24"/>
        </w:rPr>
        <w:t xml:space="preserve">CD4+ T cells in the </w:t>
      </w:r>
      <w:proofErr w:type="spellStart"/>
      <w:r w:rsidRPr="00301377">
        <w:rPr>
          <w:rFonts w:eastAsia="宋体"/>
          <w:color w:val="000000" w:themeColor="text1"/>
          <w:kern w:val="0"/>
          <w:sz w:val="24"/>
          <w:szCs w:val="24"/>
        </w:rPr>
        <w:t>dLNs</w:t>
      </w:r>
      <w:proofErr w:type="spellEnd"/>
      <w:r w:rsidRPr="00301377">
        <w:rPr>
          <w:rFonts w:eastAsia="宋体"/>
          <w:color w:val="000000" w:themeColor="text1"/>
          <w:kern w:val="0"/>
          <w:sz w:val="24"/>
          <w:szCs w:val="24"/>
        </w:rPr>
        <w:t xml:space="preserve"> </w:t>
      </w:r>
      <w:r w:rsidRPr="00301377">
        <w:rPr>
          <w:rFonts w:eastAsia="宋体"/>
          <w:b/>
          <w:bCs/>
          <w:color w:val="000000" w:themeColor="text1"/>
          <w:kern w:val="0"/>
          <w:sz w:val="24"/>
          <w:szCs w:val="24"/>
        </w:rPr>
        <w:t>(C)</w:t>
      </w:r>
      <w:r w:rsidRPr="00301377">
        <w:rPr>
          <w:rFonts w:eastAsia="宋体"/>
          <w:color w:val="000000" w:themeColor="text1"/>
          <w:kern w:val="0"/>
          <w:sz w:val="24"/>
          <w:szCs w:val="24"/>
        </w:rPr>
        <w:t xml:space="preserve"> and spleen </w:t>
      </w:r>
      <w:r w:rsidRPr="00301377">
        <w:rPr>
          <w:rFonts w:eastAsia="宋体"/>
          <w:b/>
          <w:bCs/>
          <w:color w:val="000000" w:themeColor="text1"/>
          <w:kern w:val="0"/>
          <w:sz w:val="24"/>
          <w:szCs w:val="24"/>
        </w:rPr>
        <w:t>(D)</w:t>
      </w:r>
      <w:r w:rsidRPr="00301377">
        <w:rPr>
          <w:rFonts w:eastAsia="宋体"/>
          <w:color w:val="000000" w:themeColor="text1"/>
          <w:kern w:val="0"/>
          <w:sz w:val="24"/>
          <w:szCs w:val="24"/>
        </w:rPr>
        <w:t xml:space="preserve"> of the indicated groups. Data are presented as mean ± SEM (n = 5). Statistical significance was determined by unpaired two-tailed Student’s t-test (*p &lt; 0.05, **p &lt; 0.01, and ***p &lt; 0.001, ****p &lt; 0.0001, ns, not significant).</w:t>
      </w:r>
      <w:r w:rsidRPr="00505D92">
        <w:rPr>
          <w:color w:val="000000" w:themeColor="text1"/>
        </w:rPr>
        <w:t xml:space="preserve"> </w:t>
      </w:r>
    </w:p>
    <w:p w14:paraId="09B8554D" w14:textId="77777777" w:rsidR="00E77B4E" w:rsidRPr="00EC37CB" w:rsidRDefault="00E77B4E" w:rsidP="00E77B4E">
      <w:pPr>
        <w:spacing w:line="480" w:lineRule="auto"/>
        <w:rPr>
          <w:color w:val="EE0000"/>
          <w:sz w:val="24"/>
          <w:szCs w:val="24"/>
        </w:rPr>
      </w:pPr>
    </w:p>
    <w:p w14:paraId="7FAD2BEF" w14:textId="5A257AC4" w:rsidR="00E77B4E" w:rsidRDefault="00E77B4E" w:rsidP="00E77B4E">
      <w:pPr>
        <w:spacing w:line="480" w:lineRule="auto"/>
        <w:rPr>
          <w:color w:val="000000" w:themeColor="text1"/>
          <w:sz w:val="24"/>
          <w:szCs w:val="24"/>
        </w:rPr>
      </w:pPr>
    </w:p>
    <w:p w14:paraId="317B5C2C" w14:textId="77777777" w:rsidR="00E77B4E" w:rsidRDefault="00E77B4E" w:rsidP="00E77B4E">
      <w:pPr>
        <w:spacing w:line="480" w:lineRule="auto"/>
        <w:rPr>
          <w:color w:val="000000" w:themeColor="text1"/>
          <w:sz w:val="24"/>
          <w:szCs w:val="24"/>
        </w:rPr>
      </w:pPr>
    </w:p>
    <w:p w14:paraId="648BD0A2" w14:textId="77777777" w:rsidR="00E77B4E" w:rsidRDefault="00E77B4E" w:rsidP="00E77B4E">
      <w:pPr>
        <w:spacing w:line="480" w:lineRule="auto"/>
        <w:rPr>
          <w:color w:val="000000" w:themeColor="text1"/>
          <w:sz w:val="24"/>
          <w:szCs w:val="24"/>
        </w:rPr>
      </w:pPr>
    </w:p>
    <w:p w14:paraId="62CFD015" w14:textId="77777777" w:rsidR="00E77B4E" w:rsidRDefault="00E77B4E" w:rsidP="00E77B4E">
      <w:pPr>
        <w:spacing w:line="480" w:lineRule="auto"/>
        <w:rPr>
          <w:color w:val="000000" w:themeColor="text1"/>
          <w:sz w:val="24"/>
          <w:szCs w:val="24"/>
        </w:rPr>
      </w:pPr>
    </w:p>
    <w:p w14:paraId="596EB1C9" w14:textId="77777777" w:rsidR="00E77B4E" w:rsidRDefault="00E77B4E" w:rsidP="00E77B4E">
      <w:pPr>
        <w:spacing w:line="480" w:lineRule="auto"/>
        <w:rPr>
          <w:color w:val="000000" w:themeColor="text1"/>
          <w:sz w:val="24"/>
          <w:szCs w:val="24"/>
        </w:rPr>
      </w:pPr>
    </w:p>
    <w:p w14:paraId="06A7450A" w14:textId="77777777" w:rsidR="00E77B4E" w:rsidRDefault="00E77B4E" w:rsidP="00E77B4E">
      <w:pPr>
        <w:spacing w:line="480" w:lineRule="auto"/>
        <w:rPr>
          <w:color w:val="000000" w:themeColor="text1"/>
          <w:sz w:val="24"/>
          <w:szCs w:val="24"/>
        </w:rPr>
      </w:pPr>
    </w:p>
    <w:p w14:paraId="5A103C04" w14:textId="77777777" w:rsidR="00E77B4E" w:rsidRDefault="00E77B4E" w:rsidP="00E77B4E">
      <w:pPr>
        <w:spacing w:line="480" w:lineRule="auto"/>
        <w:rPr>
          <w:color w:val="000000" w:themeColor="text1"/>
          <w:sz w:val="24"/>
          <w:szCs w:val="24"/>
        </w:rPr>
      </w:pPr>
    </w:p>
    <w:p w14:paraId="3BDB45D0" w14:textId="77777777" w:rsidR="00E77B4E" w:rsidRDefault="00E77B4E" w:rsidP="00E77B4E">
      <w:pPr>
        <w:spacing w:line="480" w:lineRule="auto"/>
        <w:rPr>
          <w:color w:val="000000" w:themeColor="text1"/>
          <w:sz w:val="24"/>
          <w:szCs w:val="24"/>
        </w:rPr>
      </w:pPr>
    </w:p>
    <w:p w14:paraId="661206AA" w14:textId="6AE3A9C3" w:rsidR="00E77B4E" w:rsidRDefault="00D1301E" w:rsidP="00E77B4E">
      <w:pPr>
        <w:spacing w:line="480" w:lineRule="auto"/>
        <w:rPr>
          <w:color w:val="000000" w:themeColor="text1"/>
          <w:sz w:val="24"/>
          <w:szCs w:val="24"/>
        </w:rPr>
      </w:pPr>
      <w:r>
        <w:rPr>
          <w:noProof/>
        </w:rPr>
        <w:lastRenderedPageBreak/>
        <w:drawing>
          <wp:anchor distT="0" distB="0" distL="114300" distR="114300" simplePos="0" relativeHeight="251652608" behindDoc="1" locked="0" layoutInCell="1" allowOverlap="1" wp14:anchorId="21F7D299" wp14:editId="06D98CFD">
            <wp:simplePos x="0" y="0"/>
            <wp:positionH relativeFrom="column">
              <wp:posOffset>171450</wp:posOffset>
            </wp:positionH>
            <wp:positionV relativeFrom="paragraph">
              <wp:posOffset>412750</wp:posOffset>
            </wp:positionV>
            <wp:extent cx="5558790" cy="8229600"/>
            <wp:effectExtent l="0" t="0" r="3810" b="0"/>
            <wp:wrapNone/>
            <wp:docPr id="1495946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8790" cy="822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969A3F" w14:textId="77777777" w:rsidR="00E77B4E" w:rsidRDefault="00E77B4E" w:rsidP="00E77B4E">
      <w:pPr>
        <w:spacing w:line="480" w:lineRule="auto"/>
        <w:rPr>
          <w:color w:val="000000" w:themeColor="text1"/>
          <w:sz w:val="24"/>
          <w:szCs w:val="24"/>
        </w:rPr>
      </w:pPr>
    </w:p>
    <w:p w14:paraId="18A851B5" w14:textId="77777777" w:rsidR="00E77B4E" w:rsidRDefault="00E77B4E" w:rsidP="00E77B4E">
      <w:pPr>
        <w:spacing w:line="480" w:lineRule="auto"/>
        <w:rPr>
          <w:color w:val="000000" w:themeColor="text1"/>
          <w:sz w:val="24"/>
          <w:szCs w:val="24"/>
        </w:rPr>
      </w:pPr>
    </w:p>
    <w:p w14:paraId="0C535909" w14:textId="77777777" w:rsidR="00E77B4E" w:rsidRDefault="00E77B4E" w:rsidP="00E77B4E">
      <w:pPr>
        <w:spacing w:line="480" w:lineRule="auto"/>
        <w:rPr>
          <w:color w:val="000000" w:themeColor="text1"/>
          <w:sz w:val="24"/>
          <w:szCs w:val="24"/>
        </w:rPr>
      </w:pPr>
    </w:p>
    <w:p w14:paraId="748B5E4C" w14:textId="77777777" w:rsidR="00E77B4E" w:rsidRDefault="00E77B4E" w:rsidP="00E77B4E">
      <w:pPr>
        <w:spacing w:line="480" w:lineRule="auto"/>
        <w:rPr>
          <w:color w:val="000000" w:themeColor="text1"/>
          <w:sz w:val="24"/>
          <w:szCs w:val="24"/>
        </w:rPr>
      </w:pPr>
    </w:p>
    <w:p w14:paraId="21AD7402" w14:textId="77777777" w:rsidR="00E77B4E" w:rsidRDefault="00E77B4E" w:rsidP="00E77B4E">
      <w:pPr>
        <w:spacing w:line="480" w:lineRule="auto"/>
        <w:rPr>
          <w:color w:val="000000" w:themeColor="text1"/>
          <w:sz w:val="24"/>
          <w:szCs w:val="24"/>
        </w:rPr>
      </w:pPr>
    </w:p>
    <w:p w14:paraId="164847DF" w14:textId="77777777" w:rsidR="00E77B4E" w:rsidRDefault="00E77B4E" w:rsidP="00E77B4E">
      <w:pPr>
        <w:spacing w:line="480" w:lineRule="auto"/>
        <w:rPr>
          <w:color w:val="000000" w:themeColor="text1"/>
          <w:sz w:val="24"/>
          <w:szCs w:val="24"/>
        </w:rPr>
      </w:pPr>
    </w:p>
    <w:p w14:paraId="1C23BC85" w14:textId="77777777" w:rsidR="00D1301E" w:rsidRDefault="00D1301E" w:rsidP="00E77B4E">
      <w:pPr>
        <w:spacing w:line="480" w:lineRule="auto"/>
        <w:rPr>
          <w:color w:val="000000" w:themeColor="text1"/>
          <w:sz w:val="24"/>
          <w:szCs w:val="24"/>
        </w:rPr>
      </w:pPr>
    </w:p>
    <w:p w14:paraId="0E783762" w14:textId="77777777" w:rsidR="00D1301E" w:rsidRDefault="00D1301E" w:rsidP="00E77B4E">
      <w:pPr>
        <w:spacing w:line="480" w:lineRule="auto"/>
        <w:rPr>
          <w:color w:val="000000" w:themeColor="text1"/>
          <w:sz w:val="24"/>
          <w:szCs w:val="24"/>
        </w:rPr>
      </w:pPr>
    </w:p>
    <w:p w14:paraId="2BE3A93B" w14:textId="77777777" w:rsidR="00D1301E" w:rsidRDefault="00D1301E" w:rsidP="00E77B4E">
      <w:pPr>
        <w:spacing w:line="480" w:lineRule="auto"/>
        <w:rPr>
          <w:color w:val="000000" w:themeColor="text1"/>
          <w:sz w:val="24"/>
          <w:szCs w:val="24"/>
        </w:rPr>
      </w:pPr>
    </w:p>
    <w:p w14:paraId="4878E77C" w14:textId="77777777" w:rsidR="00D1301E" w:rsidRDefault="00D1301E" w:rsidP="00E77B4E">
      <w:pPr>
        <w:spacing w:line="480" w:lineRule="auto"/>
        <w:rPr>
          <w:color w:val="000000" w:themeColor="text1"/>
          <w:sz w:val="24"/>
          <w:szCs w:val="24"/>
        </w:rPr>
      </w:pPr>
    </w:p>
    <w:p w14:paraId="21D6719B" w14:textId="77777777" w:rsidR="00D1301E" w:rsidRDefault="00D1301E" w:rsidP="00E77B4E">
      <w:pPr>
        <w:spacing w:line="480" w:lineRule="auto"/>
        <w:rPr>
          <w:color w:val="000000" w:themeColor="text1"/>
          <w:sz w:val="24"/>
          <w:szCs w:val="24"/>
        </w:rPr>
      </w:pPr>
    </w:p>
    <w:p w14:paraId="0042AAE6" w14:textId="77777777" w:rsidR="00D1301E" w:rsidRDefault="00D1301E" w:rsidP="00E77B4E">
      <w:pPr>
        <w:spacing w:line="480" w:lineRule="auto"/>
        <w:rPr>
          <w:color w:val="000000" w:themeColor="text1"/>
          <w:sz w:val="24"/>
          <w:szCs w:val="24"/>
        </w:rPr>
      </w:pPr>
    </w:p>
    <w:p w14:paraId="3EB3CED6" w14:textId="77777777" w:rsidR="00D1301E" w:rsidRDefault="00D1301E" w:rsidP="00E77B4E">
      <w:pPr>
        <w:spacing w:line="480" w:lineRule="auto"/>
        <w:rPr>
          <w:color w:val="000000" w:themeColor="text1"/>
          <w:sz w:val="24"/>
          <w:szCs w:val="24"/>
        </w:rPr>
      </w:pPr>
    </w:p>
    <w:p w14:paraId="52450317" w14:textId="77777777" w:rsidR="00D1301E" w:rsidRDefault="00D1301E" w:rsidP="00E77B4E">
      <w:pPr>
        <w:spacing w:line="480" w:lineRule="auto"/>
        <w:rPr>
          <w:color w:val="000000" w:themeColor="text1"/>
          <w:sz w:val="24"/>
          <w:szCs w:val="24"/>
        </w:rPr>
      </w:pPr>
    </w:p>
    <w:p w14:paraId="2737BE1A" w14:textId="77777777" w:rsidR="00D1301E" w:rsidRDefault="00D1301E" w:rsidP="00E77B4E">
      <w:pPr>
        <w:spacing w:line="480" w:lineRule="auto"/>
        <w:rPr>
          <w:color w:val="000000" w:themeColor="text1"/>
          <w:sz w:val="24"/>
          <w:szCs w:val="24"/>
        </w:rPr>
      </w:pPr>
    </w:p>
    <w:p w14:paraId="1BAEEB73" w14:textId="77777777" w:rsidR="00D1301E" w:rsidRDefault="00D1301E" w:rsidP="00E77B4E">
      <w:pPr>
        <w:spacing w:line="480" w:lineRule="auto"/>
        <w:rPr>
          <w:color w:val="000000" w:themeColor="text1"/>
          <w:sz w:val="24"/>
          <w:szCs w:val="24"/>
        </w:rPr>
      </w:pPr>
    </w:p>
    <w:p w14:paraId="6DF9F300" w14:textId="3F718E83" w:rsidR="00E77B4E" w:rsidRPr="00301377" w:rsidRDefault="00E77B4E" w:rsidP="00E77B4E">
      <w:pPr>
        <w:widowControl/>
        <w:spacing w:before="100" w:beforeAutospacing="1" w:after="100" w:afterAutospacing="1" w:line="480" w:lineRule="auto"/>
        <w:jc w:val="left"/>
        <w:rPr>
          <w:rFonts w:eastAsia="宋体"/>
          <w:b/>
          <w:bCs/>
          <w:color w:val="000000" w:themeColor="text1"/>
          <w:kern w:val="0"/>
          <w:sz w:val="24"/>
          <w:szCs w:val="24"/>
        </w:rPr>
      </w:pPr>
      <w:r w:rsidRPr="00301377">
        <w:rPr>
          <w:rFonts w:eastAsia="宋体"/>
          <w:b/>
          <w:bCs/>
          <w:color w:val="000000" w:themeColor="text1"/>
          <w:kern w:val="0"/>
          <w:sz w:val="24"/>
          <w:szCs w:val="24"/>
        </w:rPr>
        <w:lastRenderedPageBreak/>
        <w:t>Supplementary Figure 3. TYK2 inhibition attenuates disease progression and systemic T cell activation in the EAE model.</w:t>
      </w:r>
    </w:p>
    <w:p w14:paraId="28EC41A9" w14:textId="453F6CFA" w:rsidR="00E77B4E" w:rsidRPr="00E77B4E" w:rsidRDefault="00E77B4E" w:rsidP="00E77B4E">
      <w:pPr>
        <w:widowControl/>
        <w:spacing w:before="100" w:beforeAutospacing="1" w:after="100" w:afterAutospacing="1" w:line="480" w:lineRule="auto"/>
        <w:rPr>
          <w:rFonts w:eastAsia="宋体"/>
          <w:color w:val="000000" w:themeColor="text1"/>
          <w:kern w:val="0"/>
          <w:sz w:val="24"/>
          <w:szCs w:val="24"/>
        </w:rPr>
      </w:pPr>
      <w:r w:rsidRPr="00301377">
        <w:rPr>
          <w:rFonts w:eastAsia="宋体"/>
          <w:b/>
          <w:bCs/>
          <w:color w:val="000000" w:themeColor="text1"/>
          <w:kern w:val="0"/>
          <w:sz w:val="24"/>
          <w:szCs w:val="24"/>
        </w:rPr>
        <w:t xml:space="preserve">(A) </w:t>
      </w:r>
      <w:r w:rsidRPr="00301377">
        <w:rPr>
          <w:rFonts w:eastAsia="宋体"/>
          <w:color w:val="000000" w:themeColor="text1"/>
          <w:kern w:val="0"/>
          <w:sz w:val="24"/>
          <w:szCs w:val="24"/>
        </w:rPr>
        <w:t>Schematic of the EAE induction and</w:t>
      </w:r>
      <w:r>
        <w:rPr>
          <w:rFonts w:eastAsia="宋体" w:hint="eastAsia"/>
          <w:color w:val="000000" w:themeColor="text1"/>
          <w:kern w:val="0"/>
          <w:sz w:val="24"/>
          <w:szCs w:val="24"/>
        </w:rPr>
        <w:t xml:space="preserve"> </w:t>
      </w:r>
      <w:r w:rsidRPr="00301377">
        <w:rPr>
          <w:rFonts w:eastAsia="宋体"/>
          <w:color w:val="000000" w:themeColor="text1"/>
          <w:kern w:val="0"/>
          <w:sz w:val="24"/>
          <w:szCs w:val="24"/>
        </w:rPr>
        <w:t xml:space="preserve">treatment protocol with vehicle or a selective TYK2i. </w:t>
      </w:r>
      <w:r w:rsidRPr="00301377">
        <w:rPr>
          <w:rFonts w:eastAsia="宋体"/>
          <w:b/>
          <w:bCs/>
          <w:color w:val="000000" w:themeColor="text1"/>
          <w:kern w:val="0"/>
          <w:sz w:val="24"/>
          <w:szCs w:val="24"/>
        </w:rPr>
        <w:t>(B)</w:t>
      </w:r>
      <w:r w:rsidRPr="00301377">
        <w:rPr>
          <w:rFonts w:eastAsia="宋体"/>
          <w:color w:val="000000" w:themeColor="text1"/>
          <w:kern w:val="0"/>
          <w:sz w:val="24"/>
          <w:szCs w:val="24"/>
        </w:rPr>
        <w:t xml:space="preserve"> Body weight changes in EAE mice treated with vehicle or TYK2i. </w:t>
      </w:r>
      <w:r w:rsidRPr="00301377">
        <w:rPr>
          <w:rFonts w:eastAsia="宋体"/>
          <w:b/>
          <w:bCs/>
          <w:color w:val="000000" w:themeColor="text1"/>
          <w:kern w:val="0"/>
          <w:sz w:val="24"/>
          <w:szCs w:val="24"/>
        </w:rPr>
        <w:t>(C</w:t>
      </w:r>
      <w:r>
        <w:rPr>
          <w:rFonts w:eastAsia="宋体"/>
          <w:b/>
          <w:bCs/>
          <w:color w:val="000000" w:themeColor="text1"/>
          <w:kern w:val="0"/>
          <w:sz w:val="24"/>
          <w:szCs w:val="24"/>
        </w:rPr>
        <w:t xml:space="preserve">, </w:t>
      </w:r>
      <w:r w:rsidRPr="00301377">
        <w:rPr>
          <w:rFonts w:eastAsia="宋体"/>
          <w:b/>
          <w:bCs/>
          <w:color w:val="000000" w:themeColor="text1"/>
          <w:kern w:val="0"/>
          <w:sz w:val="24"/>
          <w:szCs w:val="24"/>
        </w:rPr>
        <w:t>D)</w:t>
      </w:r>
      <w:r w:rsidRPr="00301377">
        <w:rPr>
          <w:rFonts w:eastAsia="宋体"/>
          <w:color w:val="000000" w:themeColor="text1"/>
          <w:kern w:val="0"/>
          <w:sz w:val="24"/>
          <w:szCs w:val="24"/>
        </w:rPr>
        <w:t xml:space="preserve"> Representative flow cytometry plots and summary data showing the proportions of CD69+, effector CD4+ T cells (CD4+CD44+CD62L–), naive CD4+ T cells (CD4+CD44–CD62L+), CXCR3+, and CCR6+ in CD4+ T cells from the </w:t>
      </w:r>
      <w:proofErr w:type="spellStart"/>
      <w:r w:rsidRPr="00301377">
        <w:rPr>
          <w:rFonts w:eastAsia="宋体"/>
          <w:color w:val="000000" w:themeColor="text1"/>
          <w:kern w:val="0"/>
          <w:sz w:val="24"/>
          <w:szCs w:val="24"/>
        </w:rPr>
        <w:t>dLNs</w:t>
      </w:r>
      <w:proofErr w:type="spellEnd"/>
      <w:r w:rsidRPr="00301377">
        <w:rPr>
          <w:rFonts w:eastAsia="宋体"/>
          <w:color w:val="000000" w:themeColor="text1"/>
          <w:kern w:val="0"/>
          <w:sz w:val="24"/>
          <w:szCs w:val="24"/>
        </w:rPr>
        <w:t xml:space="preserve"> </w:t>
      </w:r>
      <w:r w:rsidRPr="00301377">
        <w:rPr>
          <w:rFonts w:eastAsia="宋体"/>
          <w:b/>
          <w:bCs/>
          <w:color w:val="000000" w:themeColor="text1"/>
          <w:kern w:val="0"/>
          <w:sz w:val="24"/>
          <w:szCs w:val="24"/>
        </w:rPr>
        <w:t>(C)</w:t>
      </w:r>
      <w:r w:rsidRPr="00301377">
        <w:rPr>
          <w:rFonts w:eastAsia="宋体"/>
          <w:color w:val="000000" w:themeColor="text1"/>
          <w:kern w:val="0"/>
          <w:sz w:val="24"/>
          <w:szCs w:val="24"/>
        </w:rPr>
        <w:t xml:space="preserve"> and spleen </w:t>
      </w:r>
      <w:r w:rsidRPr="00301377">
        <w:rPr>
          <w:rFonts w:eastAsia="宋体"/>
          <w:b/>
          <w:bCs/>
          <w:color w:val="000000" w:themeColor="text1"/>
          <w:kern w:val="0"/>
          <w:sz w:val="24"/>
          <w:szCs w:val="24"/>
        </w:rPr>
        <w:t>(D)</w:t>
      </w:r>
      <w:r w:rsidRPr="00301377">
        <w:rPr>
          <w:rFonts w:eastAsia="宋体"/>
          <w:color w:val="000000" w:themeColor="text1"/>
          <w:kern w:val="0"/>
          <w:sz w:val="24"/>
          <w:szCs w:val="24"/>
        </w:rPr>
        <w:t xml:space="preserve"> of vehicle- and TYK2i-treated mice. </w:t>
      </w:r>
      <w:r w:rsidRPr="00505D92">
        <w:rPr>
          <w:rFonts w:eastAsia="宋体"/>
          <w:b/>
          <w:bCs/>
          <w:color w:val="000000" w:themeColor="text1"/>
          <w:kern w:val="0"/>
          <w:sz w:val="24"/>
          <w:szCs w:val="24"/>
        </w:rPr>
        <w:t>(E</w:t>
      </w:r>
      <w:r>
        <w:rPr>
          <w:rFonts w:eastAsia="宋体"/>
          <w:b/>
          <w:bCs/>
          <w:color w:val="000000" w:themeColor="text1"/>
          <w:kern w:val="0"/>
          <w:sz w:val="24"/>
          <w:szCs w:val="24"/>
        </w:rPr>
        <w:t xml:space="preserve">, </w:t>
      </w:r>
      <w:r w:rsidRPr="00505D92">
        <w:rPr>
          <w:rFonts w:eastAsia="宋体"/>
          <w:b/>
          <w:bCs/>
          <w:color w:val="000000" w:themeColor="text1"/>
          <w:kern w:val="0"/>
          <w:sz w:val="24"/>
          <w:szCs w:val="24"/>
        </w:rPr>
        <w:t>F)</w:t>
      </w:r>
      <w:r w:rsidRPr="00301377">
        <w:rPr>
          <w:rFonts w:eastAsia="宋体"/>
          <w:color w:val="000000" w:themeColor="text1"/>
          <w:kern w:val="0"/>
          <w:sz w:val="24"/>
          <w:szCs w:val="24"/>
        </w:rPr>
        <w:t xml:space="preserve"> Representative flow cytometry plots and summary data showing the proportions of IFN-γ+, IL-17A+, and Foxp3+ in CD4+ T cells from the </w:t>
      </w:r>
      <w:proofErr w:type="spellStart"/>
      <w:r w:rsidRPr="00301377">
        <w:rPr>
          <w:rFonts w:eastAsia="宋体"/>
          <w:color w:val="000000" w:themeColor="text1"/>
          <w:kern w:val="0"/>
          <w:sz w:val="24"/>
          <w:szCs w:val="24"/>
        </w:rPr>
        <w:t>dLNs</w:t>
      </w:r>
      <w:proofErr w:type="spellEnd"/>
      <w:r w:rsidRPr="00301377">
        <w:rPr>
          <w:rFonts w:eastAsia="宋体"/>
          <w:color w:val="000000" w:themeColor="text1"/>
          <w:kern w:val="0"/>
          <w:sz w:val="24"/>
          <w:szCs w:val="24"/>
        </w:rPr>
        <w:t xml:space="preserve"> </w:t>
      </w:r>
      <w:r w:rsidRPr="00505D92">
        <w:rPr>
          <w:rFonts w:eastAsia="宋体"/>
          <w:b/>
          <w:bCs/>
          <w:color w:val="000000" w:themeColor="text1"/>
          <w:kern w:val="0"/>
          <w:sz w:val="24"/>
          <w:szCs w:val="24"/>
        </w:rPr>
        <w:t>(E)</w:t>
      </w:r>
      <w:r w:rsidRPr="00301377">
        <w:rPr>
          <w:rFonts w:eastAsia="宋体"/>
          <w:color w:val="000000" w:themeColor="text1"/>
          <w:kern w:val="0"/>
          <w:sz w:val="24"/>
          <w:szCs w:val="24"/>
        </w:rPr>
        <w:t xml:space="preserve"> and spleen </w:t>
      </w:r>
      <w:r w:rsidRPr="00505D92">
        <w:rPr>
          <w:rFonts w:eastAsia="宋体"/>
          <w:b/>
          <w:bCs/>
          <w:color w:val="000000" w:themeColor="text1"/>
          <w:kern w:val="0"/>
          <w:sz w:val="24"/>
          <w:szCs w:val="24"/>
        </w:rPr>
        <w:t>(F)</w:t>
      </w:r>
      <w:r w:rsidRPr="00301377">
        <w:rPr>
          <w:rFonts w:eastAsia="宋体"/>
          <w:color w:val="000000" w:themeColor="text1"/>
          <w:kern w:val="0"/>
          <w:sz w:val="24"/>
          <w:szCs w:val="24"/>
        </w:rPr>
        <w:t xml:space="preserve"> of vehicle- and TYK2i-treated mice. Data are presented as mean ± SEM (n=6). Statistical significance was determined by unpaired two-tailed Student’s t-test or two-way ANOVA with repeated measures followed by post-hoc multiple comparisons test (*p &lt; 0.05, **p &lt; 0.01, and ***p &lt; 0.001, ****p &lt; 0.0001, ns, not significant).</w:t>
      </w:r>
      <w:r w:rsidRPr="00505D92">
        <w:rPr>
          <w:color w:val="000000" w:themeColor="text1"/>
        </w:rPr>
        <w:t xml:space="preserve"> </w:t>
      </w:r>
      <w:r w:rsidRPr="00301377">
        <w:rPr>
          <w:rFonts w:eastAsia="宋体"/>
          <w:color w:val="000000" w:themeColor="text1"/>
          <w:kern w:val="0"/>
          <w:sz w:val="24"/>
          <w:szCs w:val="24"/>
        </w:rPr>
        <w:t xml:space="preserve"> </w:t>
      </w:r>
    </w:p>
    <w:p w14:paraId="0A9FB136" w14:textId="18F14F1A" w:rsidR="00E77B4E" w:rsidRDefault="00E77B4E" w:rsidP="00E77B4E">
      <w:pPr>
        <w:spacing w:line="480" w:lineRule="auto"/>
        <w:rPr>
          <w:b/>
          <w:bCs/>
          <w:color w:val="000000" w:themeColor="text1"/>
          <w:sz w:val="24"/>
          <w:szCs w:val="24"/>
        </w:rPr>
      </w:pPr>
    </w:p>
    <w:p w14:paraId="2B5E1CAA" w14:textId="61FF2D62" w:rsidR="00E77B4E" w:rsidRDefault="00E77B4E" w:rsidP="00E77B4E">
      <w:pPr>
        <w:spacing w:line="480" w:lineRule="auto"/>
        <w:rPr>
          <w:b/>
          <w:bCs/>
          <w:color w:val="000000" w:themeColor="text1"/>
          <w:sz w:val="24"/>
          <w:szCs w:val="24"/>
        </w:rPr>
      </w:pPr>
    </w:p>
    <w:p w14:paraId="547E7A80" w14:textId="51CB36F0" w:rsidR="00E77B4E" w:rsidRDefault="00E77B4E" w:rsidP="00E77B4E">
      <w:pPr>
        <w:spacing w:line="480" w:lineRule="auto"/>
        <w:rPr>
          <w:b/>
          <w:bCs/>
          <w:color w:val="000000" w:themeColor="text1"/>
          <w:sz w:val="24"/>
          <w:szCs w:val="24"/>
        </w:rPr>
      </w:pPr>
    </w:p>
    <w:p w14:paraId="132E6B0D" w14:textId="152913B7" w:rsidR="00E77B4E" w:rsidRDefault="00E77B4E" w:rsidP="00E77B4E">
      <w:pPr>
        <w:spacing w:line="480" w:lineRule="auto"/>
        <w:rPr>
          <w:b/>
          <w:bCs/>
          <w:color w:val="000000" w:themeColor="text1"/>
          <w:sz w:val="24"/>
          <w:szCs w:val="24"/>
        </w:rPr>
      </w:pPr>
    </w:p>
    <w:p w14:paraId="76CD906F" w14:textId="65185BB9" w:rsidR="00E77B4E" w:rsidRDefault="00E77B4E" w:rsidP="00E77B4E">
      <w:pPr>
        <w:spacing w:line="480" w:lineRule="auto"/>
        <w:rPr>
          <w:b/>
          <w:bCs/>
          <w:color w:val="000000" w:themeColor="text1"/>
          <w:sz w:val="24"/>
          <w:szCs w:val="24"/>
        </w:rPr>
      </w:pPr>
    </w:p>
    <w:p w14:paraId="472AF3CD" w14:textId="77777777" w:rsidR="00E77B4E" w:rsidRDefault="00E77B4E" w:rsidP="00E77B4E">
      <w:pPr>
        <w:spacing w:line="480" w:lineRule="auto"/>
        <w:rPr>
          <w:b/>
          <w:bCs/>
          <w:color w:val="000000" w:themeColor="text1"/>
          <w:sz w:val="24"/>
          <w:szCs w:val="24"/>
        </w:rPr>
      </w:pPr>
    </w:p>
    <w:p w14:paraId="55D7D484" w14:textId="77777777" w:rsidR="00E77B4E" w:rsidRDefault="00E77B4E" w:rsidP="00E77B4E">
      <w:pPr>
        <w:spacing w:line="480" w:lineRule="auto"/>
        <w:rPr>
          <w:b/>
          <w:bCs/>
          <w:color w:val="000000" w:themeColor="text1"/>
          <w:sz w:val="24"/>
          <w:szCs w:val="24"/>
        </w:rPr>
      </w:pPr>
    </w:p>
    <w:p w14:paraId="5400AC03" w14:textId="0ECE9884" w:rsidR="00E77B4E" w:rsidRDefault="00E77B4E" w:rsidP="00E77B4E">
      <w:pPr>
        <w:spacing w:line="480" w:lineRule="auto"/>
        <w:rPr>
          <w:b/>
          <w:bCs/>
          <w:color w:val="000000" w:themeColor="text1"/>
          <w:sz w:val="24"/>
          <w:szCs w:val="24"/>
        </w:rPr>
      </w:pPr>
    </w:p>
    <w:p w14:paraId="38D3C3AF" w14:textId="26BDC08B" w:rsidR="00E77B4E" w:rsidRDefault="00283EBF" w:rsidP="00E77B4E">
      <w:pPr>
        <w:spacing w:line="480" w:lineRule="auto"/>
        <w:rPr>
          <w:b/>
          <w:bCs/>
          <w:color w:val="000000" w:themeColor="text1"/>
          <w:sz w:val="24"/>
          <w:szCs w:val="24"/>
        </w:rPr>
      </w:pPr>
      <w:r>
        <w:rPr>
          <w:noProof/>
        </w:rPr>
        <w:drawing>
          <wp:anchor distT="0" distB="0" distL="114300" distR="114300" simplePos="0" relativeHeight="251663872" behindDoc="1" locked="0" layoutInCell="1" allowOverlap="1" wp14:anchorId="6FA7D33E" wp14:editId="4E96949B">
            <wp:simplePos x="0" y="0"/>
            <wp:positionH relativeFrom="column">
              <wp:posOffset>139700</wp:posOffset>
            </wp:positionH>
            <wp:positionV relativeFrom="paragraph">
              <wp:posOffset>74930</wp:posOffset>
            </wp:positionV>
            <wp:extent cx="5888355" cy="8229600"/>
            <wp:effectExtent l="0" t="0" r="0" b="0"/>
            <wp:wrapNone/>
            <wp:docPr id="20899650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8355" cy="822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6ED30" w14:textId="77777777" w:rsidR="00E77B4E" w:rsidRDefault="00E77B4E" w:rsidP="00E77B4E">
      <w:pPr>
        <w:spacing w:line="480" w:lineRule="auto"/>
        <w:rPr>
          <w:b/>
          <w:bCs/>
          <w:color w:val="000000" w:themeColor="text1"/>
          <w:sz w:val="24"/>
          <w:szCs w:val="24"/>
        </w:rPr>
      </w:pPr>
    </w:p>
    <w:p w14:paraId="37C61165" w14:textId="77777777" w:rsidR="00E77B4E" w:rsidRDefault="00E77B4E" w:rsidP="00E77B4E">
      <w:pPr>
        <w:spacing w:line="480" w:lineRule="auto"/>
        <w:rPr>
          <w:b/>
          <w:bCs/>
          <w:color w:val="000000" w:themeColor="text1"/>
          <w:sz w:val="24"/>
          <w:szCs w:val="24"/>
        </w:rPr>
      </w:pPr>
    </w:p>
    <w:p w14:paraId="44962A0E" w14:textId="77777777" w:rsidR="00E77B4E" w:rsidRDefault="00E77B4E" w:rsidP="00E77B4E">
      <w:pPr>
        <w:spacing w:line="480" w:lineRule="auto"/>
        <w:rPr>
          <w:b/>
          <w:bCs/>
          <w:color w:val="000000" w:themeColor="text1"/>
          <w:sz w:val="24"/>
          <w:szCs w:val="24"/>
        </w:rPr>
      </w:pPr>
    </w:p>
    <w:p w14:paraId="4FD8372C" w14:textId="77777777" w:rsidR="00E77B4E" w:rsidRDefault="00E77B4E" w:rsidP="00E77B4E">
      <w:pPr>
        <w:spacing w:line="480" w:lineRule="auto"/>
        <w:rPr>
          <w:b/>
          <w:bCs/>
          <w:color w:val="000000" w:themeColor="text1"/>
          <w:sz w:val="24"/>
          <w:szCs w:val="24"/>
        </w:rPr>
      </w:pPr>
    </w:p>
    <w:p w14:paraId="34C975E4" w14:textId="77777777" w:rsidR="00E77B4E" w:rsidRDefault="00E77B4E" w:rsidP="00E77B4E">
      <w:pPr>
        <w:spacing w:line="480" w:lineRule="auto"/>
        <w:rPr>
          <w:b/>
          <w:bCs/>
          <w:color w:val="000000" w:themeColor="text1"/>
          <w:sz w:val="24"/>
          <w:szCs w:val="24"/>
        </w:rPr>
      </w:pPr>
    </w:p>
    <w:p w14:paraId="2FBC7CAD" w14:textId="77777777" w:rsidR="00E77B4E" w:rsidRDefault="00E77B4E" w:rsidP="00E77B4E">
      <w:pPr>
        <w:spacing w:line="480" w:lineRule="auto"/>
        <w:rPr>
          <w:b/>
          <w:bCs/>
          <w:color w:val="000000" w:themeColor="text1"/>
          <w:sz w:val="24"/>
          <w:szCs w:val="24"/>
        </w:rPr>
      </w:pPr>
    </w:p>
    <w:p w14:paraId="6D07D24F" w14:textId="77777777" w:rsidR="00E77B4E" w:rsidRDefault="00E77B4E" w:rsidP="00E77B4E">
      <w:pPr>
        <w:spacing w:line="480" w:lineRule="auto"/>
        <w:rPr>
          <w:b/>
          <w:bCs/>
          <w:color w:val="000000" w:themeColor="text1"/>
          <w:sz w:val="24"/>
          <w:szCs w:val="24"/>
        </w:rPr>
      </w:pPr>
    </w:p>
    <w:p w14:paraId="601C1C41" w14:textId="77777777" w:rsidR="00E77B4E" w:rsidRDefault="00E77B4E" w:rsidP="00E77B4E">
      <w:pPr>
        <w:spacing w:line="480" w:lineRule="auto"/>
        <w:rPr>
          <w:b/>
          <w:bCs/>
          <w:color w:val="000000" w:themeColor="text1"/>
          <w:sz w:val="24"/>
          <w:szCs w:val="24"/>
        </w:rPr>
      </w:pPr>
    </w:p>
    <w:p w14:paraId="3174D7AF" w14:textId="77777777" w:rsidR="00E77B4E" w:rsidRDefault="00E77B4E" w:rsidP="00E77B4E">
      <w:pPr>
        <w:spacing w:line="480" w:lineRule="auto"/>
        <w:rPr>
          <w:b/>
          <w:bCs/>
          <w:color w:val="000000" w:themeColor="text1"/>
          <w:sz w:val="24"/>
          <w:szCs w:val="24"/>
        </w:rPr>
      </w:pPr>
    </w:p>
    <w:p w14:paraId="1956654E" w14:textId="77777777" w:rsidR="00283EBF" w:rsidRDefault="00283EBF" w:rsidP="00E77B4E">
      <w:pPr>
        <w:spacing w:line="480" w:lineRule="auto"/>
        <w:rPr>
          <w:b/>
          <w:bCs/>
          <w:color w:val="000000" w:themeColor="text1"/>
          <w:sz w:val="24"/>
          <w:szCs w:val="24"/>
        </w:rPr>
      </w:pPr>
    </w:p>
    <w:p w14:paraId="1B7931B8" w14:textId="77777777" w:rsidR="00283EBF" w:rsidRDefault="00283EBF" w:rsidP="00E77B4E">
      <w:pPr>
        <w:spacing w:line="480" w:lineRule="auto"/>
        <w:rPr>
          <w:b/>
          <w:bCs/>
          <w:color w:val="000000" w:themeColor="text1"/>
          <w:sz w:val="24"/>
          <w:szCs w:val="24"/>
        </w:rPr>
      </w:pPr>
    </w:p>
    <w:p w14:paraId="0E02BBFF" w14:textId="77777777" w:rsidR="00283EBF" w:rsidRDefault="00283EBF" w:rsidP="00E77B4E">
      <w:pPr>
        <w:spacing w:line="480" w:lineRule="auto"/>
        <w:rPr>
          <w:b/>
          <w:bCs/>
          <w:color w:val="000000" w:themeColor="text1"/>
          <w:sz w:val="24"/>
          <w:szCs w:val="24"/>
        </w:rPr>
      </w:pPr>
    </w:p>
    <w:p w14:paraId="180C5658" w14:textId="77777777" w:rsidR="00283EBF" w:rsidRDefault="00283EBF" w:rsidP="00E77B4E">
      <w:pPr>
        <w:spacing w:line="480" w:lineRule="auto"/>
        <w:rPr>
          <w:b/>
          <w:bCs/>
          <w:color w:val="000000" w:themeColor="text1"/>
          <w:sz w:val="24"/>
          <w:szCs w:val="24"/>
        </w:rPr>
      </w:pPr>
    </w:p>
    <w:p w14:paraId="72A4213D" w14:textId="77777777" w:rsidR="00283EBF" w:rsidRDefault="00283EBF" w:rsidP="00E77B4E">
      <w:pPr>
        <w:spacing w:line="480" w:lineRule="auto"/>
        <w:rPr>
          <w:b/>
          <w:bCs/>
          <w:color w:val="000000" w:themeColor="text1"/>
          <w:sz w:val="24"/>
          <w:szCs w:val="24"/>
        </w:rPr>
      </w:pPr>
    </w:p>
    <w:p w14:paraId="0790D75E" w14:textId="77777777" w:rsidR="00283EBF" w:rsidRDefault="00283EBF" w:rsidP="00E77B4E">
      <w:pPr>
        <w:spacing w:line="480" w:lineRule="auto"/>
        <w:rPr>
          <w:b/>
          <w:bCs/>
          <w:color w:val="000000" w:themeColor="text1"/>
          <w:sz w:val="24"/>
          <w:szCs w:val="24"/>
        </w:rPr>
      </w:pPr>
    </w:p>
    <w:p w14:paraId="34FBCD61" w14:textId="77777777" w:rsidR="00283EBF" w:rsidRDefault="00283EBF" w:rsidP="00E77B4E">
      <w:pPr>
        <w:spacing w:line="480" w:lineRule="auto"/>
        <w:rPr>
          <w:b/>
          <w:bCs/>
          <w:color w:val="000000" w:themeColor="text1"/>
          <w:sz w:val="24"/>
          <w:szCs w:val="24"/>
        </w:rPr>
      </w:pPr>
    </w:p>
    <w:p w14:paraId="6A8327E4" w14:textId="77777777" w:rsidR="00E77B4E" w:rsidRPr="00EC37CB" w:rsidRDefault="00E77B4E" w:rsidP="00E77B4E">
      <w:pPr>
        <w:spacing w:line="480" w:lineRule="auto"/>
        <w:rPr>
          <w:b/>
          <w:bCs/>
          <w:color w:val="000000" w:themeColor="text1"/>
          <w:sz w:val="24"/>
          <w:szCs w:val="24"/>
        </w:rPr>
      </w:pPr>
      <w:r w:rsidRPr="00EC37CB">
        <w:rPr>
          <w:b/>
          <w:bCs/>
          <w:color w:val="000000" w:themeColor="text1"/>
          <w:sz w:val="24"/>
          <w:szCs w:val="24"/>
        </w:rPr>
        <w:lastRenderedPageBreak/>
        <w:t>Supplementary Figure 4. TYK2 inhibition</w:t>
      </w:r>
      <w:r>
        <w:rPr>
          <w:rFonts w:hint="eastAsia"/>
          <w:b/>
          <w:bCs/>
          <w:color w:val="000000" w:themeColor="text1"/>
          <w:sz w:val="24"/>
          <w:szCs w:val="24"/>
        </w:rPr>
        <w:t xml:space="preserve"> </w:t>
      </w:r>
      <w:r w:rsidRPr="00997DC7">
        <w:rPr>
          <w:b/>
          <w:bCs/>
          <w:color w:val="000000" w:themeColor="text1"/>
          <w:sz w:val="24"/>
          <w:szCs w:val="24"/>
        </w:rPr>
        <w:t>from day 14</w:t>
      </w:r>
      <w:r w:rsidRPr="00EC37CB">
        <w:rPr>
          <w:b/>
          <w:bCs/>
          <w:color w:val="000000" w:themeColor="text1"/>
          <w:sz w:val="24"/>
          <w:szCs w:val="24"/>
        </w:rPr>
        <w:t xml:space="preserve"> attenuates disease progression and systemic T cell activation in the EAE model.</w:t>
      </w:r>
    </w:p>
    <w:p w14:paraId="449E556E" w14:textId="77777777" w:rsidR="00E77B4E" w:rsidRPr="00E77B4E" w:rsidRDefault="00E77B4E" w:rsidP="00E77B4E">
      <w:pPr>
        <w:pStyle w:val="a3"/>
        <w:numPr>
          <w:ilvl w:val="0"/>
          <w:numId w:val="1"/>
        </w:numPr>
        <w:spacing w:line="480" w:lineRule="auto"/>
        <w:rPr>
          <w:color w:val="000000" w:themeColor="text1"/>
          <w:sz w:val="24"/>
          <w:szCs w:val="24"/>
        </w:rPr>
      </w:pPr>
      <w:r w:rsidRPr="00E77B4E">
        <w:rPr>
          <w:color w:val="000000" w:themeColor="text1"/>
          <w:sz w:val="24"/>
          <w:szCs w:val="24"/>
        </w:rPr>
        <w:t xml:space="preserve">Schematic of the EAE induction and treatment protocol with vehicle or a selective TYK2i, administered from day 14. (B) Clinical scores in EAE mice treated with vehicle or TYK2i. (C) Representative H&amp;E and LFB staining of spinal cord sections with summary histopathological scores. (D) Body weight changes in EAE mice. (E, F) Representative flow cytometry plots and summary data showing the proportions of CD69+, effector CD4+ T cells (CD4+CD44+CD62L–), naive CD4+ T cells (CD4+CD44–CD62L+), CXCR3+, and CCR6+ in CD4+ T cells from the </w:t>
      </w:r>
      <w:proofErr w:type="spellStart"/>
      <w:r w:rsidRPr="00E77B4E">
        <w:rPr>
          <w:color w:val="000000" w:themeColor="text1"/>
          <w:sz w:val="24"/>
          <w:szCs w:val="24"/>
        </w:rPr>
        <w:t>dLNs</w:t>
      </w:r>
      <w:proofErr w:type="spellEnd"/>
      <w:r w:rsidRPr="00E77B4E">
        <w:rPr>
          <w:color w:val="000000" w:themeColor="text1"/>
          <w:sz w:val="24"/>
          <w:szCs w:val="24"/>
        </w:rPr>
        <w:t xml:space="preserve"> (E) and spleen (F) of vehicle- and TYK2i-treated mice. (G, H) Representative flow cytometry plots and summary data showing the proportions of IFN-γ+, IL-17A+, and Foxp3+ in CD4+ T cells from the </w:t>
      </w:r>
      <w:proofErr w:type="spellStart"/>
      <w:r w:rsidRPr="00E77B4E">
        <w:rPr>
          <w:color w:val="000000" w:themeColor="text1"/>
          <w:sz w:val="24"/>
          <w:szCs w:val="24"/>
        </w:rPr>
        <w:t>dLNs</w:t>
      </w:r>
      <w:proofErr w:type="spellEnd"/>
      <w:r w:rsidRPr="00E77B4E">
        <w:rPr>
          <w:color w:val="000000" w:themeColor="text1"/>
          <w:sz w:val="24"/>
          <w:szCs w:val="24"/>
        </w:rPr>
        <w:t xml:space="preserve"> (G) and spleen (H) of vehicle- and TYK2i-treated mice. Data are presented as mean ± SEM (n=</w:t>
      </w:r>
      <w:r w:rsidRPr="00E77B4E">
        <w:rPr>
          <w:rFonts w:hint="eastAsia"/>
          <w:color w:val="000000" w:themeColor="text1"/>
          <w:sz w:val="24"/>
          <w:szCs w:val="24"/>
        </w:rPr>
        <w:t>5</w:t>
      </w:r>
      <w:r w:rsidRPr="00E77B4E">
        <w:rPr>
          <w:color w:val="000000" w:themeColor="text1"/>
          <w:sz w:val="24"/>
          <w:szCs w:val="24"/>
        </w:rPr>
        <w:t xml:space="preserve">). Statistical significance was determined by unpaired two-tailed Student’s t-test or two-way ANOVA with repeated measures followed by post-hoc multiple comparisons test (*p &lt; 0.05, **p &lt; 0.01, and ***p &lt; 0.001, ****p &lt; 0.0001, ns, not significant).  </w:t>
      </w:r>
    </w:p>
    <w:p w14:paraId="0940439E" w14:textId="77777777" w:rsidR="00E77B4E" w:rsidRDefault="00E77B4E" w:rsidP="00E77B4E">
      <w:pPr>
        <w:spacing w:line="480" w:lineRule="auto"/>
        <w:rPr>
          <w:color w:val="000000" w:themeColor="text1"/>
          <w:sz w:val="24"/>
          <w:szCs w:val="24"/>
        </w:rPr>
      </w:pPr>
    </w:p>
    <w:p w14:paraId="016EB209" w14:textId="77777777" w:rsidR="00E77B4E" w:rsidRDefault="00E77B4E" w:rsidP="00E77B4E">
      <w:pPr>
        <w:spacing w:line="480" w:lineRule="auto"/>
        <w:rPr>
          <w:color w:val="000000" w:themeColor="text1"/>
          <w:sz w:val="24"/>
          <w:szCs w:val="24"/>
        </w:rPr>
      </w:pPr>
    </w:p>
    <w:p w14:paraId="0EB0A823" w14:textId="77777777" w:rsidR="00E77B4E" w:rsidRDefault="00E77B4E" w:rsidP="00E77B4E">
      <w:pPr>
        <w:spacing w:line="480" w:lineRule="auto"/>
        <w:rPr>
          <w:color w:val="000000" w:themeColor="text1"/>
          <w:sz w:val="24"/>
          <w:szCs w:val="24"/>
        </w:rPr>
      </w:pPr>
    </w:p>
    <w:p w14:paraId="2A2F0848" w14:textId="77777777" w:rsidR="00E77B4E" w:rsidRDefault="00E77B4E" w:rsidP="00E77B4E">
      <w:pPr>
        <w:spacing w:line="480" w:lineRule="auto"/>
        <w:rPr>
          <w:color w:val="000000" w:themeColor="text1"/>
          <w:sz w:val="24"/>
          <w:szCs w:val="24"/>
        </w:rPr>
      </w:pPr>
    </w:p>
    <w:p w14:paraId="695D6EA9" w14:textId="77777777" w:rsidR="00E77B4E" w:rsidRPr="00E77B4E" w:rsidRDefault="00E77B4E" w:rsidP="00E77B4E">
      <w:pPr>
        <w:spacing w:line="480" w:lineRule="auto"/>
        <w:rPr>
          <w:color w:val="000000" w:themeColor="text1"/>
          <w:sz w:val="24"/>
          <w:szCs w:val="24"/>
        </w:rPr>
      </w:pPr>
    </w:p>
    <w:p w14:paraId="406B29F1" w14:textId="77777777" w:rsidR="00E77B4E" w:rsidRDefault="00E77B4E" w:rsidP="00E77B4E">
      <w:pPr>
        <w:spacing w:line="480" w:lineRule="auto"/>
        <w:rPr>
          <w:color w:val="000000" w:themeColor="text1"/>
          <w:sz w:val="24"/>
          <w:szCs w:val="24"/>
        </w:rPr>
      </w:pPr>
      <w:r>
        <w:rPr>
          <w:noProof/>
          <w:lang w:eastAsia="en-US"/>
        </w:rPr>
        <w:drawing>
          <wp:anchor distT="0" distB="0" distL="114300" distR="114300" simplePos="0" relativeHeight="251667456" behindDoc="1" locked="0" layoutInCell="1" allowOverlap="1" wp14:anchorId="52A5E081" wp14:editId="40A28D47">
            <wp:simplePos x="0" y="0"/>
            <wp:positionH relativeFrom="margin">
              <wp:posOffset>-51569</wp:posOffset>
            </wp:positionH>
            <wp:positionV relativeFrom="paragraph">
              <wp:posOffset>120668</wp:posOffset>
            </wp:positionV>
            <wp:extent cx="5731510" cy="5224145"/>
            <wp:effectExtent l="0" t="0" r="2540" b="0"/>
            <wp:wrapNone/>
            <wp:docPr id="14923015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224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34CAEE" w14:textId="77777777" w:rsidR="00E77B4E" w:rsidRDefault="00E77B4E" w:rsidP="00E77B4E">
      <w:pPr>
        <w:spacing w:line="480" w:lineRule="auto"/>
        <w:rPr>
          <w:color w:val="000000" w:themeColor="text1"/>
          <w:sz w:val="24"/>
          <w:szCs w:val="24"/>
        </w:rPr>
      </w:pPr>
    </w:p>
    <w:p w14:paraId="0659F823" w14:textId="77777777" w:rsidR="00E77B4E" w:rsidRDefault="00E77B4E" w:rsidP="00E77B4E">
      <w:pPr>
        <w:spacing w:line="480" w:lineRule="auto"/>
        <w:rPr>
          <w:color w:val="000000" w:themeColor="text1"/>
          <w:sz w:val="24"/>
          <w:szCs w:val="24"/>
        </w:rPr>
      </w:pPr>
    </w:p>
    <w:p w14:paraId="44910ADD" w14:textId="77777777" w:rsidR="00E77B4E" w:rsidRDefault="00E77B4E" w:rsidP="00E77B4E">
      <w:pPr>
        <w:spacing w:line="480" w:lineRule="auto"/>
        <w:rPr>
          <w:color w:val="000000" w:themeColor="text1"/>
          <w:sz w:val="24"/>
          <w:szCs w:val="24"/>
        </w:rPr>
      </w:pPr>
    </w:p>
    <w:p w14:paraId="0B5AAA50" w14:textId="77777777" w:rsidR="00E77B4E" w:rsidRDefault="00E77B4E" w:rsidP="00E77B4E">
      <w:pPr>
        <w:spacing w:line="480" w:lineRule="auto"/>
        <w:rPr>
          <w:color w:val="000000" w:themeColor="text1"/>
          <w:sz w:val="24"/>
          <w:szCs w:val="24"/>
        </w:rPr>
      </w:pPr>
    </w:p>
    <w:p w14:paraId="3044735D" w14:textId="77777777" w:rsidR="00E77B4E" w:rsidRDefault="00E77B4E" w:rsidP="00E77B4E">
      <w:pPr>
        <w:spacing w:line="480" w:lineRule="auto"/>
        <w:rPr>
          <w:color w:val="000000" w:themeColor="text1"/>
          <w:sz w:val="24"/>
          <w:szCs w:val="24"/>
        </w:rPr>
      </w:pPr>
    </w:p>
    <w:p w14:paraId="4D0A8862" w14:textId="77777777" w:rsidR="00E77B4E" w:rsidRDefault="00E77B4E" w:rsidP="00E77B4E">
      <w:pPr>
        <w:spacing w:line="480" w:lineRule="auto"/>
        <w:rPr>
          <w:color w:val="000000" w:themeColor="text1"/>
          <w:sz w:val="24"/>
          <w:szCs w:val="24"/>
        </w:rPr>
      </w:pPr>
    </w:p>
    <w:p w14:paraId="281EEA06" w14:textId="77777777" w:rsidR="00E77B4E" w:rsidRDefault="00E77B4E" w:rsidP="00E77B4E">
      <w:pPr>
        <w:spacing w:line="480" w:lineRule="auto"/>
        <w:rPr>
          <w:color w:val="000000" w:themeColor="text1"/>
          <w:sz w:val="24"/>
          <w:szCs w:val="24"/>
        </w:rPr>
      </w:pPr>
    </w:p>
    <w:p w14:paraId="4504BA87" w14:textId="77777777" w:rsidR="00E77B4E" w:rsidRDefault="00E77B4E" w:rsidP="00E77B4E">
      <w:pPr>
        <w:spacing w:line="480" w:lineRule="auto"/>
        <w:rPr>
          <w:color w:val="000000" w:themeColor="text1"/>
          <w:sz w:val="24"/>
          <w:szCs w:val="24"/>
        </w:rPr>
      </w:pPr>
    </w:p>
    <w:p w14:paraId="6174986B" w14:textId="77777777" w:rsidR="00E77B4E" w:rsidRDefault="00E77B4E" w:rsidP="00E77B4E">
      <w:pPr>
        <w:spacing w:line="480" w:lineRule="auto"/>
        <w:rPr>
          <w:color w:val="000000" w:themeColor="text1"/>
          <w:sz w:val="24"/>
          <w:szCs w:val="24"/>
        </w:rPr>
      </w:pPr>
    </w:p>
    <w:p w14:paraId="510836BC" w14:textId="77777777" w:rsidR="00E77B4E" w:rsidRDefault="00E77B4E" w:rsidP="00E77B4E">
      <w:pPr>
        <w:spacing w:line="480" w:lineRule="auto"/>
        <w:rPr>
          <w:color w:val="000000" w:themeColor="text1"/>
          <w:sz w:val="24"/>
          <w:szCs w:val="24"/>
        </w:rPr>
      </w:pPr>
    </w:p>
    <w:p w14:paraId="4328996C" w14:textId="77777777" w:rsidR="00E77B4E" w:rsidRDefault="00E77B4E" w:rsidP="00E77B4E">
      <w:pPr>
        <w:widowControl/>
        <w:spacing w:before="100" w:beforeAutospacing="1" w:after="100" w:afterAutospacing="1" w:line="480" w:lineRule="auto"/>
        <w:jc w:val="left"/>
        <w:rPr>
          <w:rFonts w:eastAsia="宋体"/>
          <w:b/>
          <w:bCs/>
          <w:color w:val="000000" w:themeColor="text1"/>
          <w:kern w:val="0"/>
          <w:sz w:val="24"/>
          <w:szCs w:val="24"/>
        </w:rPr>
      </w:pPr>
    </w:p>
    <w:p w14:paraId="079296E2" w14:textId="77777777" w:rsidR="00E77B4E" w:rsidRPr="00301377" w:rsidRDefault="00E77B4E" w:rsidP="00E77B4E">
      <w:pPr>
        <w:widowControl/>
        <w:spacing w:before="100" w:beforeAutospacing="1" w:after="100" w:afterAutospacing="1" w:line="480" w:lineRule="auto"/>
        <w:jc w:val="left"/>
        <w:rPr>
          <w:rFonts w:eastAsia="宋体"/>
          <w:color w:val="000000" w:themeColor="text1"/>
          <w:kern w:val="0"/>
          <w:sz w:val="24"/>
          <w:szCs w:val="24"/>
        </w:rPr>
      </w:pPr>
      <w:r w:rsidRPr="00301377">
        <w:rPr>
          <w:rFonts w:eastAsia="宋体"/>
          <w:b/>
          <w:bCs/>
          <w:color w:val="000000" w:themeColor="text1"/>
          <w:kern w:val="0"/>
          <w:sz w:val="24"/>
          <w:szCs w:val="24"/>
        </w:rPr>
        <w:t xml:space="preserve">Supplementary Figure </w:t>
      </w:r>
      <w:r>
        <w:rPr>
          <w:rFonts w:eastAsia="宋体" w:hint="eastAsia"/>
          <w:b/>
          <w:bCs/>
          <w:color w:val="000000" w:themeColor="text1"/>
          <w:kern w:val="0"/>
          <w:sz w:val="24"/>
          <w:szCs w:val="24"/>
        </w:rPr>
        <w:t>5</w:t>
      </w:r>
      <w:r w:rsidRPr="00301377">
        <w:rPr>
          <w:rFonts w:eastAsia="宋体"/>
          <w:b/>
          <w:bCs/>
          <w:color w:val="000000" w:themeColor="text1"/>
          <w:kern w:val="0"/>
          <w:sz w:val="24"/>
          <w:szCs w:val="24"/>
        </w:rPr>
        <w:t>. Assessment of systemic safety and organ toxicity following TYK2 inhibition in EAU mice.</w:t>
      </w:r>
      <w:r w:rsidRPr="00301377">
        <w:rPr>
          <w:rFonts w:eastAsia="宋体"/>
          <w:color w:val="000000" w:themeColor="text1"/>
          <w:kern w:val="0"/>
          <w:sz w:val="24"/>
          <w:szCs w:val="24"/>
        </w:rPr>
        <w:t xml:space="preserve"> </w:t>
      </w:r>
    </w:p>
    <w:p w14:paraId="1DB31CFE" w14:textId="77777777" w:rsidR="00E77B4E" w:rsidRDefault="00E77B4E" w:rsidP="00E77B4E">
      <w:pPr>
        <w:spacing w:line="480" w:lineRule="auto"/>
        <w:rPr>
          <w:color w:val="000000" w:themeColor="text1"/>
          <w:sz w:val="24"/>
          <w:szCs w:val="24"/>
        </w:rPr>
      </w:pPr>
      <w:r w:rsidRPr="00301377">
        <w:rPr>
          <w:rFonts w:eastAsia="宋体"/>
          <w:b/>
          <w:bCs/>
          <w:color w:val="000000" w:themeColor="text1"/>
          <w:kern w:val="0"/>
          <w:sz w:val="24"/>
          <w:szCs w:val="24"/>
        </w:rPr>
        <w:t>(A)</w:t>
      </w:r>
      <w:r w:rsidRPr="00301377">
        <w:rPr>
          <w:rFonts w:eastAsia="宋体"/>
          <w:color w:val="000000" w:themeColor="text1"/>
          <w:kern w:val="0"/>
          <w:sz w:val="24"/>
          <w:szCs w:val="24"/>
        </w:rPr>
        <w:t xml:space="preserve"> Body weight changes in EAU mice treated daily with vehicle or TYK2i throughout the observation period. </w:t>
      </w:r>
      <w:r w:rsidRPr="00301377">
        <w:rPr>
          <w:rFonts w:eastAsia="宋体"/>
          <w:b/>
          <w:bCs/>
          <w:color w:val="000000" w:themeColor="text1"/>
          <w:kern w:val="0"/>
          <w:sz w:val="24"/>
          <w:szCs w:val="24"/>
        </w:rPr>
        <w:t>(B)</w:t>
      </w:r>
      <w:r w:rsidRPr="00301377">
        <w:rPr>
          <w:rFonts w:eastAsia="宋体"/>
          <w:color w:val="000000" w:themeColor="text1"/>
          <w:kern w:val="0"/>
          <w:sz w:val="24"/>
          <w:szCs w:val="24"/>
        </w:rPr>
        <w:t xml:space="preserve"> Representative H&amp;E-stained sections of liver and kidney tissues harvested from vehicle- and TYK2i-treated mice at the study endpoint. Data are presented as mean ± SEM (n = 7). Statistical significance was determined by two-way ANOVA with repeated measures followed by post-hoc multiple comparisons test (ns, not significant)</w:t>
      </w:r>
      <w:r w:rsidRPr="00301377">
        <w:rPr>
          <w:rFonts w:eastAsia="宋体"/>
          <w:b/>
          <w:bCs/>
          <w:color w:val="000000" w:themeColor="text1"/>
          <w:kern w:val="0"/>
          <w:sz w:val="24"/>
          <w:szCs w:val="24"/>
        </w:rPr>
        <w:t>.</w:t>
      </w:r>
    </w:p>
    <w:p w14:paraId="7B6BFB49" w14:textId="77777777" w:rsidR="00E77B4E" w:rsidRDefault="00E77B4E" w:rsidP="00E77B4E">
      <w:pPr>
        <w:spacing w:line="480" w:lineRule="auto"/>
        <w:rPr>
          <w:color w:val="000000" w:themeColor="text1"/>
          <w:sz w:val="24"/>
          <w:szCs w:val="24"/>
        </w:rPr>
      </w:pPr>
      <w:r>
        <w:rPr>
          <w:noProof/>
          <w:lang w:eastAsia="en-US"/>
        </w:rPr>
        <w:drawing>
          <wp:anchor distT="0" distB="0" distL="114300" distR="114300" simplePos="0" relativeHeight="251669504" behindDoc="1" locked="0" layoutInCell="1" allowOverlap="1" wp14:anchorId="4BD9BB75" wp14:editId="553D0352">
            <wp:simplePos x="0" y="0"/>
            <wp:positionH relativeFrom="margin">
              <wp:posOffset>-635</wp:posOffset>
            </wp:positionH>
            <wp:positionV relativeFrom="paragraph">
              <wp:posOffset>151765</wp:posOffset>
            </wp:positionV>
            <wp:extent cx="6066909" cy="8293100"/>
            <wp:effectExtent l="0" t="0" r="0" b="0"/>
            <wp:wrapNone/>
            <wp:docPr id="3931993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66909" cy="829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41681" w14:textId="77777777" w:rsidR="00E77B4E" w:rsidRDefault="00E77B4E" w:rsidP="00E77B4E">
      <w:pPr>
        <w:spacing w:line="480" w:lineRule="auto"/>
        <w:rPr>
          <w:color w:val="000000" w:themeColor="text1"/>
          <w:sz w:val="24"/>
          <w:szCs w:val="24"/>
        </w:rPr>
      </w:pPr>
    </w:p>
    <w:p w14:paraId="64303DC9" w14:textId="77777777" w:rsidR="00E77B4E" w:rsidRDefault="00E77B4E" w:rsidP="00E77B4E">
      <w:pPr>
        <w:spacing w:line="480" w:lineRule="auto"/>
        <w:rPr>
          <w:color w:val="000000" w:themeColor="text1"/>
          <w:sz w:val="24"/>
          <w:szCs w:val="24"/>
        </w:rPr>
      </w:pPr>
    </w:p>
    <w:p w14:paraId="29BF29A7" w14:textId="77777777" w:rsidR="00E77B4E" w:rsidRDefault="00E77B4E" w:rsidP="00E77B4E">
      <w:pPr>
        <w:spacing w:line="480" w:lineRule="auto"/>
        <w:rPr>
          <w:color w:val="000000" w:themeColor="text1"/>
          <w:sz w:val="24"/>
          <w:szCs w:val="24"/>
        </w:rPr>
      </w:pPr>
    </w:p>
    <w:p w14:paraId="25ADB925" w14:textId="77777777" w:rsidR="00E77B4E" w:rsidRDefault="00E77B4E" w:rsidP="00E77B4E">
      <w:pPr>
        <w:spacing w:line="480" w:lineRule="auto"/>
        <w:rPr>
          <w:color w:val="000000" w:themeColor="text1"/>
          <w:sz w:val="24"/>
          <w:szCs w:val="24"/>
        </w:rPr>
      </w:pPr>
    </w:p>
    <w:p w14:paraId="14A4933D" w14:textId="77777777" w:rsidR="00E77B4E" w:rsidRDefault="00E77B4E" w:rsidP="00E77B4E">
      <w:pPr>
        <w:spacing w:line="480" w:lineRule="auto"/>
        <w:rPr>
          <w:color w:val="000000" w:themeColor="text1"/>
          <w:sz w:val="24"/>
          <w:szCs w:val="24"/>
        </w:rPr>
      </w:pPr>
    </w:p>
    <w:p w14:paraId="08B159FD" w14:textId="77777777" w:rsidR="00E77B4E" w:rsidRDefault="00E77B4E" w:rsidP="00E77B4E">
      <w:pPr>
        <w:spacing w:line="480" w:lineRule="auto"/>
        <w:rPr>
          <w:color w:val="000000" w:themeColor="text1"/>
          <w:sz w:val="24"/>
          <w:szCs w:val="24"/>
        </w:rPr>
      </w:pPr>
    </w:p>
    <w:p w14:paraId="16D5F5B0" w14:textId="77777777" w:rsidR="00E77B4E" w:rsidRDefault="00E77B4E" w:rsidP="00E77B4E">
      <w:pPr>
        <w:spacing w:line="480" w:lineRule="auto"/>
        <w:rPr>
          <w:color w:val="000000" w:themeColor="text1"/>
          <w:sz w:val="24"/>
          <w:szCs w:val="24"/>
        </w:rPr>
      </w:pPr>
    </w:p>
    <w:p w14:paraId="293F0BF3" w14:textId="77777777" w:rsidR="00E77B4E" w:rsidRDefault="00E77B4E" w:rsidP="00E77B4E">
      <w:pPr>
        <w:spacing w:line="480" w:lineRule="auto"/>
        <w:rPr>
          <w:color w:val="000000" w:themeColor="text1"/>
          <w:sz w:val="24"/>
          <w:szCs w:val="24"/>
        </w:rPr>
      </w:pPr>
    </w:p>
    <w:p w14:paraId="72BA26CA" w14:textId="77777777" w:rsidR="00E77B4E" w:rsidRDefault="00E77B4E" w:rsidP="00E77B4E">
      <w:pPr>
        <w:spacing w:line="480" w:lineRule="auto"/>
        <w:rPr>
          <w:color w:val="000000" w:themeColor="text1"/>
          <w:sz w:val="24"/>
          <w:szCs w:val="24"/>
        </w:rPr>
      </w:pPr>
    </w:p>
    <w:p w14:paraId="6A6F1874" w14:textId="77777777" w:rsidR="00E77B4E" w:rsidRDefault="00E77B4E" w:rsidP="00E77B4E">
      <w:pPr>
        <w:spacing w:line="480" w:lineRule="auto"/>
        <w:rPr>
          <w:color w:val="000000" w:themeColor="text1"/>
          <w:sz w:val="24"/>
          <w:szCs w:val="24"/>
        </w:rPr>
      </w:pPr>
    </w:p>
    <w:p w14:paraId="430A0AC2" w14:textId="77777777" w:rsidR="00E77B4E" w:rsidRDefault="00E77B4E" w:rsidP="00E77B4E">
      <w:pPr>
        <w:spacing w:line="480" w:lineRule="auto"/>
        <w:rPr>
          <w:color w:val="000000" w:themeColor="text1"/>
          <w:sz w:val="24"/>
          <w:szCs w:val="24"/>
        </w:rPr>
      </w:pPr>
    </w:p>
    <w:p w14:paraId="734B8E8A" w14:textId="77777777" w:rsidR="00E77B4E" w:rsidRDefault="00E77B4E" w:rsidP="00E77B4E">
      <w:pPr>
        <w:spacing w:line="480" w:lineRule="auto"/>
        <w:rPr>
          <w:color w:val="000000" w:themeColor="text1"/>
          <w:sz w:val="24"/>
          <w:szCs w:val="24"/>
        </w:rPr>
      </w:pPr>
    </w:p>
    <w:p w14:paraId="34A82AB6" w14:textId="77777777" w:rsidR="00E77B4E" w:rsidRDefault="00E77B4E" w:rsidP="00E77B4E">
      <w:pPr>
        <w:spacing w:line="480" w:lineRule="auto"/>
        <w:rPr>
          <w:color w:val="000000" w:themeColor="text1"/>
          <w:sz w:val="24"/>
          <w:szCs w:val="24"/>
        </w:rPr>
      </w:pPr>
    </w:p>
    <w:p w14:paraId="327B5538" w14:textId="77777777" w:rsidR="00E77B4E" w:rsidRDefault="00E77B4E" w:rsidP="00E77B4E">
      <w:pPr>
        <w:spacing w:line="480" w:lineRule="auto"/>
        <w:rPr>
          <w:color w:val="000000" w:themeColor="text1"/>
          <w:sz w:val="24"/>
          <w:szCs w:val="24"/>
        </w:rPr>
      </w:pPr>
    </w:p>
    <w:p w14:paraId="40811BA9" w14:textId="77777777" w:rsidR="00E77B4E" w:rsidRDefault="00E77B4E" w:rsidP="00E77B4E">
      <w:pPr>
        <w:spacing w:line="480" w:lineRule="auto"/>
        <w:rPr>
          <w:color w:val="000000" w:themeColor="text1"/>
          <w:sz w:val="24"/>
          <w:szCs w:val="24"/>
        </w:rPr>
      </w:pPr>
    </w:p>
    <w:p w14:paraId="340F05D3" w14:textId="77777777" w:rsidR="00E77B4E" w:rsidRDefault="00E77B4E" w:rsidP="00E77B4E">
      <w:pPr>
        <w:widowControl/>
        <w:shd w:val="clear" w:color="auto" w:fill="FFFFFF"/>
        <w:spacing w:before="240" w:after="0" w:line="480" w:lineRule="auto"/>
        <w:jc w:val="left"/>
        <w:rPr>
          <w:rFonts w:eastAsia="宋体"/>
          <w:b/>
          <w:bCs/>
          <w:color w:val="000000" w:themeColor="text1"/>
          <w:kern w:val="0"/>
          <w:sz w:val="24"/>
          <w:szCs w:val="24"/>
        </w:rPr>
      </w:pPr>
    </w:p>
    <w:p w14:paraId="3F5F4AEA" w14:textId="77777777" w:rsidR="00E77B4E" w:rsidRPr="00301377" w:rsidRDefault="00E77B4E" w:rsidP="00E77B4E">
      <w:pPr>
        <w:widowControl/>
        <w:shd w:val="clear" w:color="auto" w:fill="FFFFFF"/>
        <w:spacing w:before="240" w:after="0" w:line="480" w:lineRule="auto"/>
        <w:jc w:val="left"/>
        <w:rPr>
          <w:rFonts w:eastAsia="宋体"/>
          <w:b/>
          <w:bCs/>
          <w:color w:val="000000" w:themeColor="text1"/>
          <w:kern w:val="0"/>
          <w:sz w:val="24"/>
          <w:szCs w:val="24"/>
        </w:rPr>
      </w:pPr>
      <w:r w:rsidRPr="00301377">
        <w:rPr>
          <w:rFonts w:eastAsia="宋体"/>
          <w:b/>
          <w:bCs/>
          <w:color w:val="000000" w:themeColor="text1"/>
          <w:kern w:val="0"/>
          <w:sz w:val="24"/>
          <w:szCs w:val="24"/>
        </w:rPr>
        <w:t xml:space="preserve">Supplementary Figure </w:t>
      </w:r>
      <w:r>
        <w:rPr>
          <w:rFonts w:eastAsia="宋体" w:hint="eastAsia"/>
          <w:b/>
          <w:bCs/>
          <w:color w:val="000000" w:themeColor="text1"/>
          <w:kern w:val="0"/>
          <w:sz w:val="24"/>
          <w:szCs w:val="24"/>
        </w:rPr>
        <w:t>6</w:t>
      </w:r>
      <w:r w:rsidRPr="00301377">
        <w:rPr>
          <w:rFonts w:eastAsia="宋体"/>
          <w:b/>
          <w:bCs/>
          <w:color w:val="000000" w:themeColor="text1"/>
          <w:kern w:val="0"/>
          <w:sz w:val="24"/>
          <w:szCs w:val="24"/>
        </w:rPr>
        <w:t xml:space="preserve">. Impact of TYK2 inhibition on systemic T cell homing receptors and </w:t>
      </w:r>
      <w:r w:rsidRPr="003F58AA">
        <w:rPr>
          <w:rFonts w:eastAsia="宋体"/>
          <w:b/>
          <w:bCs/>
          <w:color w:val="000000" w:themeColor="text1"/>
          <w:kern w:val="0"/>
          <w:sz w:val="24"/>
          <w:szCs w:val="24"/>
        </w:rPr>
        <w:t>functional marker</w:t>
      </w:r>
      <w:r>
        <w:rPr>
          <w:rFonts w:eastAsia="宋体"/>
          <w:b/>
          <w:bCs/>
          <w:color w:val="000000" w:themeColor="text1"/>
          <w:kern w:val="0"/>
          <w:sz w:val="24"/>
          <w:szCs w:val="24"/>
        </w:rPr>
        <w:t>s</w:t>
      </w:r>
      <w:r w:rsidRPr="003F58AA">
        <w:rPr>
          <w:rFonts w:eastAsia="宋体"/>
          <w:b/>
          <w:bCs/>
          <w:color w:val="000000" w:themeColor="text1"/>
          <w:kern w:val="0"/>
          <w:sz w:val="24"/>
          <w:szCs w:val="24"/>
        </w:rPr>
        <w:t xml:space="preserve"> of Treg</w:t>
      </w:r>
      <w:r w:rsidRPr="00301377">
        <w:rPr>
          <w:rFonts w:eastAsia="宋体"/>
          <w:b/>
          <w:bCs/>
          <w:color w:val="000000" w:themeColor="text1"/>
          <w:kern w:val="0"/>
          <w:sz w:val="24"/>
          <w:szCs w:val="24"/>
        </w:rPr>
        <w:t>.</w:t>
      </w:r>
    </w:p>
    <w:p w14:paraId="45C9D5FD"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r w:rsidRPr="00301377">
        <w:rPr>
          <w:rFonts w:eastAsia="宋体"/>
          <w:b/>
          <w:bCs/>
          <w:color w:val="000000" w:themeColor="text1"/>
          <w:kern w:val="0"/>
          <w:sz w:val="24"/>
          <w:szCs w:val="24"/>
        </w:rPr>
        <w:lastRenderedPageBreak/>
        <w:t>(A</w:t>
      </w:r>
      <w:r>
        <w:rPr>
          <w:rFonts w:eastAsia="宋体"/>
          <w:b/>
          <w:bCs/>
          <w:color w:val="000000" w:themeColor="text1"/>
          <w:kern w:val="0"/>
          <w:sz w:val="24"/>
          <w:szCs w:val="24"/>
        </w:rPr>
        <w:t xml:space="preserve">, </w:t>
      </w:r>
      <w:r w:rsidRPr="00301377">
        <w:rPr>
          <w:rFonts w:eastAsia="宋体"/>
          <w:b/>
          <w:bCs/>
          <w:color w:val="000000" w:themeColor="text1"/>
          <w:kern w:val="0"/>
          <w:sz w:val="24"/>
          <w:szCs w:val="24"/>
        </w:rPr>
        <w:t xml:space="preserve">B) </w:t>
      </w:r>
      <w:r w:rsidRPr="00301377">
        <w:rPr>
          <w:rFonts w:eastAsia="宋体"/>
          <w:color w:val="000000" w:themeColor="text1"/>
          <w:kern w:val="0"/>
          <w:sz w:val="24"/>
          <w:szCs w:val="24"/>
        </w:rPr>
        <w:t xml:space="preserve">Representative flow cytometry histograms and summary data showing the proportions of CXCR3+ and CCR6+ cells within the CD4+ T cell population from the </w:t>
      </w:r>
      <w:proofErr w:type="spellStart"/>
      <w:r w:rsidRPr="00301377">
        <w:rPr>
          <w:rFonts w:eastAsia="宋体"/>
          <w:color w:val="000000" w:themeColor="text1"/>
          <w:kern w:val="0"/>
          <w:sz w:val="24"/>
          <w:szCs w:val="24"/>
        </w:rPr>
        <w:t>dLNs</w:t>
      </w:r>
      <w:proofErr w:type="spellEnd"/>
      <w:r w:rsidRPr="00301377">
        <w:rPr>
          <w:rFonts w:eastAsia="宋体"/>
          <w:b/>
          <w:bCs/>
          <w:color w:val="000000" w:themeColor="text1"/>
          <w:kern w:val="0"/>
          <w:sz w:val="24"/>
          <w:szCs w:val="24"/>
        </w:rPr>
        <w:t xml:space="preserve"> (A)</w:t>
      </w:r>
      <w:r w:rsidRPr="00301377">
        <w:rPr>
          <w:rFonts w:eastAsia="宋体"/>
          <w:color w:val="000000" w:themeColor="text1"/>
          <w:kern w:val="0"/>
          <w:sz w:val="24"/>
          <w:szCs w:val="24"/>
        </w:rPr>
        <w:t xml:space="preserve"> and spleen </w:t>
      </w:r>
      <w:r w:rsidRPr="00301377">
        <w:rPr>
          <w:rFonts w:eastAsia="宋体"/>
          <w:b/>
          <w:bCs/>
          <w:color w:val="000000" w:themeColor="text1"/>
          <w:kern w:val="0"/>
          <w:sz w:val="24"/>
          <w:szCs w:val="24"/>
        </w:rPr>
        <w:t xml:space="preserve">(B) </w:t>
      </w:r>
      <w:r w:rsidRPr="00301377">
        <w:rPr>
          <w:rFonts w:eastAsia="宋体"/>
          <w:color w:val="000000" w:themeColor="text1"/>
          <w:kern w:val="0"/>
          <w:sz w:val="24"/>
          <w:szCs w:val="24"/>
        </w:rPr>
        <w:t>of vehicle- and TYK2i-treated EAU mice.</w:t>
      </w:r>
      <w:r w:rsidRPr="00301377">
        <w:rPr>
          <w:rFonts w:eastAsia="宋体"/>
          <w:b/>
          <w:bCs/>
          <w:color w:val="000000" w:themeColor="text1"/>
          <w:kern w:val="0"/>
          <w:sz w:val="24"/>
          <w:szCs w:val="24"/>
        </w:rPr>
        <w:t xml:space="preserve"> (C</w:t>
      </w:r>
      <w:r>
        <w:rPr>
          <w:rFonts w:eastAsia="宋体"/>
          <w:b/>
          <w:bCs/>
          <w:color w:val="000000" w:themeColor="text1"/>
          <w:kern w:val="0"/>
          <w:sz w:val="24"/>
          <w:szCs w:val="24"/>
        </w:rPr>
        <w:t>,</w:t>
      </w:r>
      <w:r w:rsidRPr="00301377">
        <w:rPr>
          <w:rFonts w:eastAsia="宋体"/>
          <w:b/>
          <w:bCs/>
          <w:color w:val="000000" w:themeColor="text1"/>
          <w:kern w:val="0"/>
          <w:sz w:val="24"/>
          <w:szCs w:val="24"/>
        </w:rPr>
        <w:t xml:space="preserve"> D)</w:t>
      </w:r>
      <w:r w:rsidRPr="00301377">
        <w:rPr>
          <w:rFonts w:eastAsia="宋体"/>
          <w:color w:val="000000" w:themeColor="text1"/>
          <w:kern w:val="0"/>
          <w:sz w:val="24"/>
          <w:szCs w:val="24"/>
        </w:rPr>
        <w:t xml:space="preserve"> Representative flow cytometry plots and summary data showing the proportions of ICOS+, CTLA-4+, and Helios+ CD4+ T cells from the </w:t>
      </w:r>
      <w:proofErr w:type="spellStart"/>
      <w:r w:rsidRPr="00301377">
        <w:rPr>
          <w:rFonts w:eastAsia="宋体"/>
          <w:color w:val="000000" w:themeColor="text1"/>
          <w:kern w:val="0"/>
          <w:sz w:val="24"/>
          <w:szCs w:val="24"/>
        </w:rPr>
        <w:t>dLNs</w:t>
      </w:r>
      <w:proofErr w:type="spellEnd"/>
      <w:r w:rsidRPr="00301377">
        <w:rPr>
          <w:rFonts w:eastAsia="宋体"/>
          <w:color w:val="000000" w:themeColor="text1"/>
          <w:kern w:val="0"/>
          <w:sz w:val="24"/>
          <w:szCs w:val="24"/>
        </w:rPr>
        <w:t xml:space="preserve"> </w:t>
      </w:r>
      <w:r w:rsidRPr="00301377">
        <w:rPr>
          <w:rFonts w:eastAsia="宋体"/>
          <w:b/>
          <w:bCs/>
          <w:color w:val="000000" w:themeColor="text1"/>
          <w:kern w:val="0"/>
          <w:sz w:val="24"/>
          <w:szCs w:val="24"/>
        </w:rPr>
        <w:t>(C)</w:t>
      </w:r>
      <w:r w:rsidRPr="00301377">
        <w:rPr>
          <w:rFonts w:eastAsia="宋体"/>
          <w:color w:val="000000" w:themeColor="text1"/>
          <w:kern w:val="0"/>
          <w:sz w:val="24"/>
          <w:szCs w:val="24"/>
        </w:rPr>
        <w:t xml:space="preserve"> and spleen </w:t>
      </w:r>
      <w:r w:rsidRPr="00301377">
        <w:rPr>
          <w:rFonts w:eastAsia="宋体"/>
          <w:b/>
          <w:bCs/>
          <w:color w:val="000000" w:themeColor="text1"/>
          <w:kern w:val="0"/>
          <w:sz w:val="24"/>
          <w:szCs w:val="24"/>
        </w:rPr>
        <w:t>(D)</w:t>
      </w:r>
      <w:r w:rsidRPr="00301377">
        <w:rPr>
          <w:rFonts w:eastAsia="宋体"/>
          <w:color w:val="000000" w:themeColor="text1"/>
          <w:kern w:val="0"/>
          <w:sz w:val="24"/>
          <w:szCs w:val="24"/>
        </w:rPr>
        <w:t xml:space="preserve">. </w:t>
      </w:r>
      <w:r w:rsidRPr="00301377">
        <w:rPr>
          <w:rFonts w:eastAsia="宋体"/>
          <w:b/>
          <w:bCs/>
          <w:color w:val="000000" w:themeColor="text1"/>
          <w:kern w:val="0"/>
          <w:sz w:val="24"/>
          <w:szCs w:val="24"/>
        </w:rPr>
        <w:t>(E)</w:t>
      </w:r>
      <w:r w:rsidRPr="00301377">
        <w:rPr>
          <w:rFonts w:eastAsia="宋体"/>
          <w:color w:val="000000" w:themeColor="text1"/>
          <w:kern w:val="0"/>
          <w:sz w:val="24"/>
          <w:szCs w:val="24"/>
        </w:rPr>
        <w:t xml:space="preserve"> Representative flow cytometry plots and summary </w:t>
      </w:r>
      <w:r>
        <w:rPr>
          <w:rFonts w:eastAsia="宋体"/>
          <w:color w:val="000000" w:themeColor="text1"/>
          <w:kern w:val="0"/>
          <w:sz w:val="24"/>
          <w:szCs w:val="24"/>
        </w:rPr>
        <w:t>data</w:t>
      </w:r>
      <w:r w:rsidRPr="00301377">
        <w:rPr>
          <w:rFonts w:eastAsia="宋体"/>
          <w:color w:val="000000" w:themeColor="text1"/>
          <w:kern w:val="0"/>
          <w:sz w:val="24"/>
          <w:szCs w:val="24"/>
        </w:rPr>
        <w:t xml:space="preserve"> showing the proportions of IFN-γ+, IL-17A+, and Foxp3+ cells among peripheral blood CD4+ T cells. Data are presented as mean ± SEM (n = 7). Statistical significance was determined by unpaired two-tailed Student’s t-test (*p &lt; 0.05, **p &lt; 0.01, and ***p &lt; 0.001, ****p &lt; 0.0001, ns, not significant).</w:t>
      </w:r>
    </w:p>
    <w:p w14:paraId="6B2322B9"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3DF80EEA"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7060FCA6"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53C95DBF"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6F1E4286"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76EAFC39"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2FDB0620"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0086D75D"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5000C72D" w14:textId="77777777" w:rsidR="00E77B4E" w:rsidRP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48E5F29F" w14:textId="77777777" w:rsidR="00E77B4E" w:rsidRDefault="00E77B4E" w:rsidP="00E77B4E">
      <w:pPr>
        <w:spacing w:line="480" w:lineRule="auto"/>
        <w:rPr>
          <w:noProof/>
        </w:rPr>
      </w:pPr>
      <w:r>
        <w:rPr>
          <w:noProof/>
          <w:lang w:eastAsia="en-US"/>
        </w:rPr>
        <w:drawing>
          <wp:anchor distT="0" distB="0" distL="114300" distR="114300" simplePos="0" relativeHeight="251671552" behindDoc="1" locked="0" layoutInCell="1" allowOverlap="1" wp14:anchorId="51F987A5" wp14:editId="6CD59A5B">
            <wp:simplePos x="0" y="0"/>
            <wp:positionH relativeFrom="margin">
              <wp:posOffset>-182880</wp:posOffset>
            </wp:positionH>
            <wp:positionV relativeFrom="paragraph">
              <wp:posOffset>182880</wp:posOffset>
            </wp:positionV>
            <wp:extent cx="6336148" cy="5324622"/>
            <wp:effectExtent l="0" t="0" r="7620" b="9525"/>
            <wp:wrapNone/>
            <wp:docPr id="7788168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36148" cy="53246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99AAEF" w14:textId="77777777" w:rsidR="00E77B4E" w:rsidRDefault="00E77B4E" w:rsidP="00E77B4E">
      <w:pPr>
        <w:spacing w:line="480" w:lineRule="auto"/>
        <w:rPr>
          <w:color w:val="000000" w:themeColor="text1"/>
          <w:sz w:val="24"/>
          <w:szCs w:val="24"/>
        </w:rPr>
      </w:pPr>
    </w:p>
    <w:p w14:paraId="7A3F5F3F" w14:textId="77777777" w:rsidR="00E77B4E" w:rsidRDefault="00E77B4E" w:rsidP="00E77B4E">
      <w:pPr>
        <w:spacing w:line="480" w:lineRule="auto"/>
        <w:rPr>
          <w:color w:val="000000" w:themeColor="text1"/>
          <w:sz w:val="24"/>
          <w:szCs w:val="24"/>
        </w:rPr>
      </w:pPr>
    </w:p>
    <w:p w14:paraId="6C35FE94" w14:textId="77777777" w:rsidR="00E77B4E" w:rsidRDefault="00E77B4E" w:rsidP="00E77B4E">
      <w:pPr>
        <w:spacing w:line="480" w:lineRule="auto"/>
        <w:rPr>
          <w:color w:val="000000" w:themeColor="text1"/>
          <w:sz w:val="24"/>
          <w:szCs w:val="24"/>
        </w:rPr>
      </w:pPr>
    </w:p>
    <w:p w14:paraId="6E7455FE" w14:textId="77777777" w:rsidR="00E77B4E" w:rsidRDefault="00E77B4E" w:rsidP="00E77B4E">
      <w:pPr>
        <w:spacing w:line="480" w:lineRule="auto"/>
        <w:rPr>
          <w:color w:val="000000" w:themeColor="text1"/>
          <w:sz w:val="24"/>
          <w:szCs w:val="24"/>
        </w:rPr>
      </w:pPr>
    </w:p>
    <w:p w14:paraId="0013F693" w14:textId="77777777" w:rsidR="00E77B4E" w:rsidRDefault="00E77B4E" w:rsidP="00E77B4E">
      <w:pPr>
        <w:spacing w:line="480" w:lineRule="auto"/>
        <w:rPr>
          <w:color w:val="000000" w:themeColor="text1"/>
          <w:sz w:val="24"/>
          <w:szCs w:val="24"/>
        </w:rPr>
      </w:pPr>
    </w:p>
    <w:p w14:paraId="18E71E47" w14:textId="77777777" w:rsidR="00E77B4E" w:rsidRDefault="00E77B4E" w:rsidP="00E77B4E">
      <w:pPr>
        <w:spacing w:line="480" w:lineRule="auto"/>
        <w:rPr>
          <w:color w:val="000000" w:themeColor="text1"/>
          <w:sz w:val="24"/>
          <w:szCs w:val="24"/>
        </w:rPr>
      </w:pPr>
    </w:p>
    <w:p w14:paraId="75813819" w14:textId="77777777" w:rsidR="00E77B4E" w:rsidRDefault="00E77B4E" w:rsidP="00E77B4E">
      <w:pPr>
        <w:spacing w:line="480" w:lineRule="auto"/>
        <w:rPr>
          <w:color w:val="000000" w:themeColor="text1"/>
          <w:sz w:val="24"/>
          <w:szCs w:val="24"/>
        </w:rPr>
      </w:pPr>
    </w:p>
    <w:p w14:paraId="79520850" w14:textId="77777777" w:rsidR="00E77B4E" w:rsidRDefault="00E77B4E" w:rsidP="00E77B4E">
      <w:pPr>
        <w:spacing w:line="480" w:lineRule="auto"/>
        <w:rPr>
          <w:color w:val="000000" w:themeColor="text1"/>
          <w:sz w:val="24"/>
          <w:szCs w:val="24"/>
        </w:rPr>
      </w:pPr>
    </w:p>
    <w:p w14:paraId="5B15EF27" w14:textId="77777777" w:rsidR="00E77B4E" w:rsidRDefault="00E77B4E" w:rsidP="00E77B4E">
      <w:pPr>
        <w:spacing w:line="480" w:lineRule="auto"/>
        <w:rPr>
          <w:color w:val="000000" w:themeColor="text1"/>
          <w:sz w:val="24"/>
          <w:szCs w:val="24"/>
        </w:rPr>
      </w:pPr>
    </w:p>
    <w:p w14:paraId="7384A260" w14:textId="77777777" w:rsidR="00E77B4E" w:rsidRDefault="00E77B4E" w:rsidP="00E77B4E">
      <w:pPr>
        <w:spacing w:line="480" w:lineRule="auto"/>
        <w:rPr>
          <w:color w:val="000000" w:themeColor="text1"/>
          <w:sz w:val="24"/>
          <w:szCs w:val="24"/>
        </w:rPr>
      </w:pPr>
    </w:p>
    <w:p w14:paraId="42563CB4" w14:textId="77777777" w:rsidR="00E77B4E" w:rsidRDefault="00E77B4E" w:rsidP="00E77B4E">
      <w:pPr>
        <w:spacing w:line="480" w:lineRule="auto"/>
        <w:rPr>
          <w:color w:val="000000" w:themeColor="text1"/>
          <w:sz w:val="24"/>
          <w:szCs w:val="24"/>
        </w:rPr>
      </w:pPr>
    </w:p>
    <w:p w14:paraId="01639ABD" w14:textId="77777777" w:rsidR="00E77B4E" w:rsidRDefault="00E77B4E" w:rsidP="00E77B4E">
      <w:pPr>
        <w:spacing w:line="480" w:lineRule="auto"/>
        <w:rPr>
          <w:b/>
          <w:bCs/>
          <w:color w:val="000000" w:themeColor="text1"/>
          <w:sz w:val="24"/>
          <w:szCs w:val="24"/>
        </w:rPr>
      </w:pPr>
    </w:p>
    <w:p w14:paraId="6533F3DD" w14:textId="77777777" w:rsidR="00E77B4E" w:rsidRPr="00EC37CB" w:rsidRDefault="00E77B4E" w:rsidP="00E77B4E">
      <w:pPr>
        <w:spacing w:line="480" w:lineRule="auto"/>
        <w:rPr>
          <w:b/>
          <w:bCs/>
          <w:color w:val="000000" w:themeColor="text1"/>
          <w:sz w:val="24"/>
          <w:szCs w:val="24"/>
        </w:rPr>
      </w:pPr>
      <w:r w:rsidRPr="00EC37CB">
        <w:rPr>
          <w:b/>
          <w:bCs/>
          <w:color w:val="000000" w:themeColor="text1"/>
          <w:sz w:val="24"/>
          <w:szCs w:val="24"/>
        </w:rPr>
        <w:t>Supplementary Figure 7. Induction and characterization of EAE through adoptive transfer of CD4+ T cells.</w:t>
      </w:r>
    </w:p>
    <w:p w14:paraId="151F4FC3" w14:textId="77777777" w:rsidR="00E77B4E" w:rsidRPr="005F595E" w:rsidRDefault="00E77B4E" w:rsidP="00E77B4E">
      <w:pPr>
        <w:spacing w:line="480" w:lineRule="auto"/>
        <w:rPr>
          <w:color w:val="000000" w:themeColor="text1"/>
          <w:sz w:val="24"/>
          <w:szCs w:val="24"/>
        </w:rPr>
      </w:pPr>
      <w:r w:rsidRPr="00D45125">
        <w:rPr>
          <w:color w:val="000000" w:themeColor="text1"/>
          <w:sz w:val="24"/>
          <w:szCs w:val="24"/>
        </w:rPr>
        <w:t>(A) Schematic of the adoptive transfer experimental design using MOG</w:t>
      </w:r>
      <w:r w:rsidRPr="00EC37CB">
        <w:rPr>
          <w:color w:val="000000" w:themeColor="text1"/>
          <w:sz w:val="24"/>
          <w:szCs w:val="24"/>
          <w:vertAlign w:val="subscript"/>
        </w:rPr>
        <w:t>35–55</w:t>
      </w:r>
      <w:r w:rsidRPr="00D45125">
        <w:rPr>
          <w:color w:val="000000" w:themeColor="text1"/>
          <w:sz w:val="24"/>
          <w:szCs w:val="24"/>
        </w:rPr>
        <w:t xml:space="preserve">-restimulated CD4+ T cells. (B) Clinical scores in </w:t>
      </w:r>
      <w:r>
        <w:rPr>
          <w:rFonts w:hint="eastAsia"/>
          <w:color w:val="000000" w:themeColor="text1"/>
          <w:sz w:val="24"/>
          <w:szCs w:val="24"/>
        </w:rPr>
        <w:t>naive</w:t>
      </w:r>
      <w:r w:rsidRPr="00D45125">
        <w:rPr>
          <w:color w:val="000000" w:themeColor="text1"/>
          <w:sz w:val="24"/>
          <w:szCs w:val="24"/>
        </w:rPr>
        <w:t xml:space="preserve"> mice following adoptive transfer. (C) Representative H&amp;E and LFB staining of spinal cord sections with summary histopathological scores. (D) Body weight changes in </w:t>
      </w:r>
      <w:r>
        <w:rPr>
          <w:rFonts w:hint="eastAsia"/>
          <w:color w:val="000000" w:themeColor="text1"/>
          <w:sz w:val="24"/>
          <w:szCs w:val="24"/>
        </w:rPr>
        <w:t>naive</w:t>
      </w:r>
      <w:r w:rsidRPr="00D45125">
        <w:rPr>
          <w:color w:val="000000" w:themeColor="text1"/>
          <w:sz w:val="24"/>
          <w:szCs w:val="24"/>
        </w:rPr>
        <w:t xml:space="preserve"> mice. (E) Proportions of IFN-γ+, IL-17A+, and Foxp3+ CD4+ T cell subsets in the </w:t>
      </w:r>
      <w:proofErr w:type="spellStart"/>
      <w:r w:rsidRPr="00D45125">
        <w:rPr>
          <w:color w:val="000000" w:themeColor="text1"/>
          <w:sz w:val="24"/>
          <w:szCs w:val="24"/>
        </w:rPr>
        <w:t>dLNs</w:t>
      </w:r>
      <w:proofErr w:type="spellEnd"/>
      <w:r w:rsidRPr="00D45125">
        <w:rPr>
          <w:color w:val="000000" w:themeColor="text1"/>
          <w:sz w:val="24"/>
          <w:szCs w:val="24"/>
        </w:rPr>
        <w:t xml:space="preserve"> of </w:t>
      </w:r>
      <w:r>
        <w:rPr>
          <w:rFonts w:hint="eastAsia"/>
          <w:color w:val="000000" w:themeColor="text1"/>
          <w:sz w:val="24"/>
          <w:szCs w:val="24"/>
        </w:rPr>
        <w:t>naive</w:t>
      </w:r>
      <w:r w:rsidRPr="00D45125">
        <w:rPr>
          <w:color w:val="000000" w:themeColor="text1"/>
          <w:sz w:val="24"/>
          <w:szCs w:val="24"/>
        </w:rPr>
        <w:t xml:space="preserve"> mice</w:t>
      </w:r>
      <w:r>
        <w:rPr>
          <w:rFonts w:hint="eastAsia"/>
          <w:color w:val="000000" w:themeColor="text1"/>
          <w:sz w:val="24"/>
          <w:szCs w:val="24"/>
        </w:rPr>
        <w:t xml:space="preserve">. </w:t>
      </w:r>
      <w:r w:rsidRPr="00D45125">
        <w:rPr>
          <w:color w:val="000000" w:themeColor="text1"/>
          <w:sz w:val="24"/>
          <w:szCs w:val="24"/>
        </w:rPr>
        <w:t xml:space="preserve">Data are presented as mean ± SEM (n=5). </w:t>
      </w:r>
      <w:r w:rsidRPr="0083240D">
        <w:rPr>
          <w:color w:val="000000" w:themeColor="text1"/>
          <w:sz w:val="24"/>
          <w:szCs w:val="24"/>
        </w:rPr>
        <w:t>Statistical significance was determined by unpaired two-tailed Student’s t-test or two-way ANOVA with repeated measures followed by post-hoc multiple comparisons test</w:t>
      </w:r>
      <w:r w:rsidRPr="005F595E">
        <w:rPr>
          <w:color w:val="000000" w:themeColor="text1"/>
          <w:sz w:val="24"/>
          <w:szCs w:val="24"/>
        </w:rPr>
        <w:t xml:space="preserve"> (*p &lt; 0.05, </w:t>
      </w:r>
      <w:r w:rsidRPr="00EC37CB">
        <w:rPr>
          <w:color w:val="000000" w:themeColor="text1"/>
          <w:sz w:val="24"/>
          <w:szCs w:val="24"/>
        </w:rPr>
        <w:t>**</w:t>
      </w:r>
      <w:r w:rsidRPr="005F595E">
        <w:rPr>
          <w:color w:val="000000" w:themeColor="text1"/>
          <w:sz w:val="24"/>
          <w:szCs w:val="24"/>
        </w:rPr>
        <w:t>p &lt; 0.01; ns, not significant).</w:t>
      </w:r>
    </w:p>
    <w:p w14:paraId="6D43AF0C" w14:textId="26E93160" w:rsidR="00E77B4E" w:rsidRDefault="002326EF" w:rsidP="00E77B4E">
      <w:pPr>
        <w:spacing w:line="480" w:lineRule="auto"/>
        <w:rPr>
          <w:color w:val="000000" w:themeColor="text1"/>
          <w:sz w:val="24"/>
          <w:szCs w:val="24"/>
        </w:rPr>
      </w:pPr>
      <w:r>
        <w:rPr>
          <w:noProof/>
        </w:rPr>
        <w:lastRenderedPageBreak/>
        <w:drawing>
          <wp:anchor distT="0" distB="0" distL="114300" distR="114300" simplePos="0" relativeHeight="251687936" behindDoc="1" locked="0" layoutInCell="1" allowOverlap="1" wp14:anchorId="6148E30C" wp14:editId="38B9E1FB">
            <wp:simplePos x="0" y="0"/>
            <wp:positionH relativeFrom="margin">
              <wp:align>right</wp:align>
            </wp:positionH>
            <wp:positionV relativeFrom="paragraph">
              <wp:posOffset>-338212</wp:posOffset>
            </wp:positionV>
            <wp:extent cx="5943600" cy="5639435"/>
            <wp:effectExtent l="0" t="0" r="0" b="0"/>
            <wp:wrapNone/>
            <wp:docPr id="275447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639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9F5CF0" w14:textId="77777777" w:rsidR="00E77B4E" w:rsidRDefault="00E77B4E" w:rsidP="00E77B4E">
      <w:pPr>
        <w:spacing w:line="480" w:lineRule="auto"/>
        <w:rPr>
          <w:color w:val="000000" w:themeColor="text1"/>
          <w:sz w:val="24"/>
          <w:szCs w:val="24"/>
        </w:rPr>
      </w:pPr>
    </w:p>
    <w:p w14:paraId="74BD4D82" w14:textId="77777777" w:rsidR="00E77B4E" w:rsidRDefault="00E77B4E" w:rsidP="00E77B4E">
      <w:pPr>
        <w:spacing w:line="480" w:lineRule="auto"/>
        <w:rPr>
          <w:color w:val="000000" w:themeColor="text1"/>
          <w:sz w:val="24"/>
          <w:szCs w:val="24"/>
        </w:rPr>
      </w:pPr>
    </w:p>
    <w:p w14:paraId="1D536AC4" w14:textId="77777777" w:rsidR="00E77B4E" w:rsidRDefault="00E77B4E" w:rsidP="00E77B4E">
      <w:pPr>
        <w:spacing w:line="480" w:lineRule="auto"/>
        <w:rPr>
          <w:color w:val="000000" w:themeColor="text1"/>
          <w:sz w:val="24"/>
          <w:szCs w:val="24"/>
        </w:rPr>
      </w:pPr>
    </w:p>
    <w:p w14:paraId="2433A278" w14:textId="77777777" w:rsidR="00E77B4E" w:rsidRDefault="00E77B4E" w:rsidP="00E77B4E">
      <w:pPr>
        <w:spacing w:line="480" w:lineRule="auto"/>
        <w:rPr>
          <w:color w:val="000000" w:themeColor="text1"/>
          <w:sz w:val="24"/>
          <w:szCs w:val="24"/>
        </w:rPr>
      </w:pPr>
    </w:p>
    <w:p w14:paraId="6BEC9116" w14:textId="77777777" w:rsidR="00E77B4E" w:rsidRDefault="00E77B4E" w:rsidP="00E77B4E">
      <w:pPr>
        <w:spacing w:line="480" w:lineRule="auto"/>
        <w:rPr>
          <w:color w:val="000000" w:themeColor="text1"/>
          <w:sz w:val="24"/>
          <w:szCs w:val="24"/>
        </w:rPr>
      </w:pPr>
    </w:p>
    <w:p w14:paraId="6D86DB5F" w14:textId="77777777" w:rsidR="00E77B4E" w:rsidRDefault="00E77B4E" w:rsidP="00E77B4E">
      <w:pPr>
        <w:spacing w:line="480" w:lineRule="auto"/>
        <w:rPr>
          <w:color w:val="000000" w:themeColor="text1"/>
          <w:sz w:val="24"/>
          <w:szCs w:val="24"/>
        </w:rPr>
      </w:pPr>
    </w:p>
    <w:p w14:paraId="699AB861" w14:textId="77777777" w:rsidR="00E77B4E" w:rsidRDefault="00E77B4E" w:rsidP="00E77B4E">
      <w:pPr>
        <w:spacing w:line="480" w:lineRule="auto"/>
        <w:rPr>
          <w:color w:val="000000" w:themeColor="text1"/>
          <w:sz w:val="24"/>
          <w:szCs w:val="24"/>
        </w:rPr>
      </w:pPr>
    </w:p>
    <w:p w14:paraId="6FA05E97" w14:textId="77777777" w:rsidR="00E77B4E" w:rsidRDefault="00E77B4E" w:rsidP="00E77B4E">
      <w:pPr>
        <w:spacing w:line="480" w:lineRule="auto"/>
        <w:rPr>
          <w:color w:val="000000" w:themeColor="text1"/>
          <w:sz w:val="24"/>
          <w:szCs w:val="24"/>
        </w:rPr>
      </w:pPr>
    </w:p>
    <w:p w14:paraId="7659C2A2" w14:textId="77777777" w:rsidR="00E77B4E" w:rsidRPr="00706778" w:rsidRDefault="00E77B4E" w:rsidP="00E77B4E">
      <w:pPr>
        <w:spacing w:line="480" w:lineRule="auto"/>
        <w:rPr>
          <w:color w:val="000000" w:themeColor="text1"/>
          <w:sz w:val="24"/>
          <w:szCs w:val="24"/>
        </w:rPr>
      </w:pPr>
    </w:p>
    <w:p w14:paraId="6C8CC3C0" w14:textId="77777777" w:rsidR="00E77B4E" w:rsidRDefault="00E77B4E" w:rsidP="00E77B4E">
      <w:pPr>
        <w:spacing w:line="480" w:lineRule="auto"/>
        <w:rPr>
          <w:b/>
          <w:bCs/>
          <w:color w:val="000000" w:themeColor="text1"/>
          <w:sz w:val="24"/>
          <w:szCs w:val="24"/>
        </w:rPr>
      </w:pPr>
    </w:p>
    <w:p w14:paraId="6F3E832D" w14:textId="77777777" w:rsidR="00E77B4E" w:rsidRDefault="00E77B4E" w:rsidP="00E77B4E">
      <w:pPr>
        <w:spacing w:line="480" w:lineRule="auto"/>
        <w:rPr>
          <w:b/>
          <w:bCs/>
          <w:color w:val="000000" w:themeColor="text1"/>
          <w:sz w:val="24"/>
          <w:szCs w:val="24"/>
        </w:rPr>
      </w:pPr>
    </w:p>
    <w:p w14:paraId="4C3B3AE0" w14:textId="77777777" w:rsidR="00E77B4E" w:rsidRPr="00EC37CB" w:rsidRDefault="00E77B4E" w:rsidP="00E77B4E">
      <w:pPr>
        <w:spacing w:line="480" w:lineRule="auto"/>
        <w:rPr>
          <w:b/>
          <w:bCs/>
          <w:color w:val="000000" w:themeColor="text1"/>
          <w:sz w:val="24"/>
          <w:szCs w:val="24"/>
        </w:rPr>
      </w:pPr>
      <w:r w:rsidRPr="00EC37CB">
        <w:rPr>
          <w:b/>
          <w:bCs/>
          <w:color w:val="000000" w:themeColor="text1"/>
          <w:sz w:val="24"/>
          <w:szCs w:val="24"/>
        </w:rPr>
        <w:t>Supplementary Figure 8. TYK2 inhibition reduces the proportion of highly pathogenic IFN-γ+IL-17A+ CD4+ T cells across multiple experimental models.</w:t>
      </w:r>
    </w:p>
    <w:p w14:paraId="174E8203" w14:textId="77777777" w:rsidR="00E77B4E" w:rsidRDefault="00E77B4E" w:rsidP="00E77B4E">
      <w:pPr>
        <w:spacing w:line="480" w:lineRule="auto"/>
        <w:rPr>
          <w:color w:val="000000" w:themeColor="text1"/>
          <w:sz w:val="24"/>
          <w:szCs w:val="24"/>
        </w:rPr>
      </w:pPr>
      <w:r w:rsidRPr="000063EC">
        <w:rPr>
          <w:color w:val="000000" w:themeColor="text1"/>
          <w:sz w:val="24"/>
          <w:szCs w:val="24"/>
        </w:rPr>
        <w:t xml:space="preserve">Representative plots and summary data showing IFN-γ+IL-17A+ CD4+ T cell proportions in </w:t>
      </w:r>
      <w:r w:rsidRPr="00080916">
        <w:rPr>
          <w:color w:val="000000" w:themeColor="text1"/>
          <w:sz w:val="24"/>
          <w:szCs w:val="24"/>
        </w:rPr>
        <w:t xml:space="preserve"> (A) IRBP-restimulated cultures (related to Fig. 4), and (B) anti-CD3/CD28-stimulated PBMCs (related to Fig. 7) </w:t>
      </w:r>
      <w:r>
        <w:rPr>
          <w:rFonts w:hint="eastAsia"/>
          <w:color w:val="000000" w:themeColor="text1"/>
          <w:sz w:val="24"/>
          <w:szCs w:val="24"/>
        </w:rPr>
        <w:t>,</w:t>
      </w:r>
      <w:r w:rsidRPr="000063EC">
        <w:rPr>
          <w:color w:val="000000" w:themeColor="text1"/>
          <w:sz w:val="24"/>
          <w:szCs w:val="24"/>
        </w:rPr>
        <w:t>(</w:t>
      </w:r>
      <w:r>
        <w:rPr>
          <w:rFonts w:hint="eastAsia"/>
          <w:color w:val="000000" w:themeColor="text1"/>
          <w:sz w:val="24"/>
          <w:szCs w:val="24"/>
        </w:rPr>
        <w:t>C</w:t>
      </w:r>
      <w:r w:rsidRPr="000063EC">
        <w:rPr>
          <w:color w:val="000000" w:themeColor="text1"/>
          <w:sz w:val="24"/>
          <w:szCs w:val="24"/>
        </w:rPr>
        <w:t>–</w:t>
      </w:r>
      <w:r>
        <w:rPr>
          <w:rFonts w:hint="eastAsia"/>
          <w:color w:val="000000" w:themeColor="text1"/>
          <w:sz w:val="24"/>
          <w:szCs w:val="24"/>
        </w:rPr>
        <w:t>F</w:t>
      </w:r>
      <w:r w:rsidRPr="000063EC">
        <w:rPr>
          <w:color w:val="000000" w:themeColor="text1"/>
          <w:sz w:val="24"/>
          <w:szCs w:val="24"/>
        </w:rPr>
        <w:t xml:space="preserve">) </w:t>
      </w:r>
      <w:proofErr w:type="spellStart"/>
      <w:r w:rsidRPr="000063EC">
        <w:rPr>
          <w:color w:val="000000" w:themeColor="text1"/>
          <w:sz w:val="24"/>
          <w:szCs w:val="24"/>
        </w:rPr>
        <w:t>dLNs</w:t>
      </w:r>
      <w:proofErr w:type="spellEnd"/>
      <w:r w:rsidRPr="000063EC">
        <w:rPr>
          <w:color w:val="000000" w:themeColor="text1"/>
          <w:sz w:val="24"/>
          <w:szCs w:val="24"/>
        </w:rPr>
        <w:t xml:space="preserve"> and spleens of EAU mice (</w:t>
      </w:r>
      <w:r>
        <w:rPr>
          <w:rFonts w:hint="eastAsia"/>
          <w:color w:val="000000" w:themeColor="text1"/>
          <w:sz w:val="24"/>
          <w:szCs w:val="24"/>
        </w:rPr>
        <w:t>C</w:t>
      </w:r>
      <w:r w:rsidRPr="000063EC">
        <w:rPr>
          <w:color w:val="000000" w:themeColor="text1"/>
          <w:sz w:val="24"/>
          <w:szCs w:val="24"/>
        </w:rPr>
        <w:t>–</w:t>
      </w:r>
      <w:r>
        <w:rPr>
          <w:rFonts w:hint="eastAsia"/>
          <w:color w:val="000000" w:themeColor="text1"/>
          <w:sz w:val="24"/>
          <w:szCs w:val="24"/>
        </w:rPr>
        <w:t>D</w:t>
      </w:r>
      <w:r w:rsidRPr="000063EC">
        <w:rPr>
          <w:color w:val="000000" w:themeColor="text1"/>
          <w:sz w:val="24"/>
          <w:szCs w:val="24"/>
        </w:rPr>
        <w:t xml:space="preserve"> related to Fig. 3; </w:t>
      </w:r>
      <w:r>
        <w:rPr>
          <w:rFonts w:hint="eastAsia"/>
          <w:color w:val="000000" w:themeColor="text1"/>
          <w:sz w:val="24"/>
          <w:szCs w:val="24"/>
        </w:rPr>
        <w:t>E</w:t>
      </w:r>
      <w:r w:rsidRPr="000063EC">
        <w:rPr>
          <w:color w:val="000000" w:themeColor="text1"/>
          <w:sz w:val="24"/>
          <w:szCs w:val="24"/>
        </w:rPr>
        <w:t>–</w:t>
      </w:r>
      <w:r>
        <w:rPr>
          <w:rFonts w:hint="eastAsia"/>
          <w:color w:val="000000" w:themeColor="text1"/>
          <w:sz w:val="24"/>
          <w:szCs w:val="24"/>
        </w:rPr>
        <w:t>F</w:t>
      </w:r>
      <w:r w:rsidRPr="000063EC">
        <w:rPr>
          <w:color w:val="000000" w:themeColor="text1"/>
          <w:sz w:val="24"/>
          <w:szCs w:val="24"/>
        </w:rPr>
        <w:t xml:space="preserve"> related to Supp. Fig. 2), (</w:t>
      </w:r>
      <w:r>
        <w:rPr>
          <w:rFonts w:hint="eastAsia"/>
          <w:color w:val="000000" w:themeColor="text1"/>
          <w:sz w:val="24"/>
          <w:szCs w:val="24"/>
        </w:rPr>
        <w:t>G</w:t>
      </w:r>
      <w:r w:rsidRPr="000063EC">
        <w:rPr>
          <w:color w:val="000000" w:themeColor="text1"/>
          <w:sz w:val="24"/>
          <w:szCs w:val="24"/>
        </w:rPr>
        <w:t>–</w:t>
      </w:r>
      <w:r>
        <w:rPr>
          <w:rFonts w:hint="eastAsia"/>
          <w:color w:val="000000" w:themeColor="text1"/>
          <w:sz w:val="24"/>
          <w:szCs w:val="24"/>
        </w:rPr>
        <w:t>J</w:t>
      </w:r>
      <w:r w:rsidRPr="000063EC">
        <w:rPr>
          <w:color w:val="000000" w:themeColor="text1"/>
          <w:sz w:val="24"/>
          <w:szCs w:val="24"/>
        </w:rPr>
        <w:t xml:space="preserve">) </w:t>
      </w:r>
      <w:proofErr w:type="spellStart"/>
      <w:r w:rsidRPr="000063EC">
        <w:rPr>
          <w:color w:val="000000" w:themeColor="text1"/>
          <w:sz w:val="24"/>
          <w:szCs w:val="24"/>
        </w:rPr>
        <w:t>dLNs</w:t>
      </w:r>
      <w:proofErr w:type="spellEnd"/>
      <w:r w:rsidRPr="000063EC">
        <w:rPr>
          <w:color w:val="000000" w:themeColor="text1"/>
          <w:sz w:val="24"/>
          <w:szCs w:val="24"/>
        </w:rPr>
        <w:t xml:space="preserve"> and spleens of EAE mice (</w:t>
      </w:r>
      <w:r>
        <w:rPr>
          <w:rFonts w:hint="eastAsia"/>
          <w:color w:val="000000" w:themeColor="text1"/>
          <w:sz w:val="24"/>
          <w:szCs w:val="24"/>
        </w:rPr>
        <w:t>G</w:t>
      </w:r>
      <w:r w:rsidRPr="000063EC">
        <w:rPr>
          <w:color w:val="000000" w:themeColor="text1"/>
          <w:sz w:val="24"/>
          <w:szCs w:val="24"/>
        </w:rPr>
        <w:t>–</w:t>
      </w:r>
      <w:r>
        <w:rPr>
          <w:rFonts w:hint="eastAsia"/>
          <w:color w:val="000000" w:themeColor="text1"/>
          <w:sz w:val="24"/>
          <w:szCs w:val="24"/>
        </w:rPr>
        <w:t>H</w:t>
      </w:r>
      <w:r w:rsidRPr="000063EC">
        <w:rPr>
          <w:color w:val="000000" w:themeColor="text1"/>
          <w:sz w:val="24"/>
          <w:szCs w:val="24"/>
        </w:rPr>
        <w:t xml:space="preserve"> related to Supp. Fig. 3</w:t>
      </w:r>
      <w:r>
        <w:rPr>
          <w:rFonts w:hint="eastAsia"/>
          <w:color w:val="000000" w:themeColor="text1"/>
          <w:sz w:val="24"/>
          <w:szCs w:val="24"/>
        </w:rPr>
        <w:t>;</w:t>
      </w:r>
      <w:r w:rsidRPr="00080916">
        <w:rPr>
          <w:rFonts w:hint="eastAsia"/>
          <w:color w:val="000000" w:themeColor="text1"/>
          <w:sz w:val="24"/>
          <w:szCs w:val="24"/>
        </w:rPr>
        <w:t xml:space="preserve"> </w:t>
      </w:r>
      <w:r>
        <w:rPr>
          <w:rFonts w:hint="eastAsia"/>
          <w:color w:val="000000" w:themeColor="text1"/>
          <w:sz w:val="24"/>
          <w:szCs w:val="24"/>
        </w:rPr>
        <w:t>I</w:t>
      </w:r>
      <w:r w:rsidRPr="000063EC">
        <w:rPr>
          <w:color w:val="000000" w:themeColor="text1"/>
          <w:sz w:val="24"/>
          <w:szCs w:val="24"/>
        </w:rPr>
        <w:t>–</w:t>
      </w:r>
      <w:r>
        <w:rPr>
          <w:rFonts w:hint="eastAsia"/>
          <w:color w:val="000000" w:themeColor="text1"/>
          <w:sz w:val="24"/>
          <w:szCs w:val="24"/>
        </w:rPr>
        <w:t>J</w:t>
      </w:r>
      <w:r w:rsidRPr="000063EC">
        <w:rPr>
          <w:color w:val="000000" w:themeColor="text1"/>
          <w:sz w:val="24"/>
          <w:szCs w:val="24"/>
        </w:rPr>
        <w:t xml:space="preserve"> related to Supp. Fig. </w:t>
      </w:r>
      <w:r>
        <w:rPr>
          <w:rFonts w:hint="eastAsia"/>
          <w:color w:val="000000" w:themeColor="text1"/>
          <w:sz w:val="24"/>
          <w:szCs w:val="24"/>
        </w:rPr>
        <w:t>4</w:t>
      </w:r>
      <w:r w:rsidRPr="000063EC">
        <w:rPr>
          <w:color w:val="000000" w:themeColor="text1"/>
          <w:sz w:val="24"/>
          <w:szCs w:val="24"/>
        </w:rPr>
        <w:t xml:space="preserve">). Data are mean ± SEM (n = </w:t>
      </w:r>
      <w:r>
        <w:rPr>
          <w:rFonts w:hint="eastAsia"/>
          <w:color w:val="000000" w:themeColor="text1"/>
          <w:sz w:val="24"/>
          <w:szCs w:val="24"/>
        </w:rPr>
        <w:t>5</w:t>
      </w:r>
      <w:r w:rsidRPr="000063EC">
        <w:rPr>
          <w:color w:val="000000" w:themeColor="text1"/>
          <w:sz w:val="24"/>
          <w:szCs w:val="24"/>
        </w:rPr>
        <w:t>–7). Statistical significance was determined b</w:t>
      </w:r>
      <w:r w:rsidRPr="009C4122">
        <w:rPr>
          <w:color w:val="000000" w:themeColor="text1"/>
          <w:sz w:val="24"/>
          <w:szCs w:val="24"/>
        </w:rPr>
        <w:t xml:space="preserve">y </w:t>
      </w:r>
      <w:r w:rsidRPr="00BC4A41">
        <w:rPr>
          <w:color w:val="000000" w:themeColor="text1"/>
          <w:sz w:val="24"/>
          <w:szCs w:val="24"/>
        </w:rPr>
        <w:t>unpaired two-tailed Student’s t-test</w:t>
      </w:r>
      <w:r w:rsidRPr="00EC37CB">
        <w:rPr>
          <w:color w:val="000000" w:themeColor="text1"/>
          <w:sz w:val="24"/>
          <w:szCs w:val="24"/>
        </w:rPr>
        <w:t xml:space="preserve"> (*p &lt; 0.05, **p &lt; 0.01, ***p &lt; 0.001, ****p &lt; 0.0001).</w:t>
      </w:r>
    </w:p>
    <w:p w14:paraId="39DE7060" w14:textId="77777777" w:rsidR="00E77B4E" w:rsidRDefault="00E77B4E" w:rsidP="00E77B4E">
      <w:pPr>
        <w:spacing w:line="480" w:lineRule="auto"/>
        <w:rPr>
          <w:color w:val="000000" w:themeColor="text1"/>
          <w:sz w:val="24"/>
          <w:szCs w:val="24"/>
        </w:rPr>
      </w:pPr>
      <w:r>
        <w:rPr>
          <w:noProof/>
          <w:lang w:eastAsia="en-US"/>
        </w:rPr>
        <w:lastRenderedPageBreak/>
        <w:drawing>
          <wp:anchor distT="0" distB="0" distL="114300" distR="114300" simplePos="0" relativeHeight="251675648" behindDoc="1" locked="0" layoutInCell="1" allowOverlap="1" wp14:anchorId="453639E7" wp14:editId="4C583B98">
            <wp:simplePos x="0" y="0"/>
            <wp:positionH relativeFrom="margin">
              <wp:posOffset>164666</wp:posOffset>
            </wp:positionH>
            <wp:positionV relativeFrom="paragraph">
              <wp:posOffset>116238</wp:posOffset>
            </wp:positionV>
            <wp:extent cx="4987872" cy="6972300"/>
            <wp:effectExtent l="0" t="0" r="3810" b="0"/>
            <wp:wrapNone/>
            <wp:docPr id="20679631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87872" cy="697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9F110" w14:textId="77777777" w:rsidR="00E77B4E" w:rsidRDefault="00E77B4E" w:rsidP="00E77B4E">
      <w:pPr>
        <w:spacing w:line="480" w:lineRule="auto"/>
        <w:rPr>
          <w:color w:val="000000" w:themeColor="text1"/>
          <w:sz w:val="24"/>
          <w:szCs w:val="24"/>
        </w:rPr>
      </w:pPr>
    </w:p>
    <w:p w14:paraId="37F1B2A7" w14:textId="77777777" w:rsidR="00E77B4E" w:rsidRDefault="00E77B4E" w:rsidP="00E77B4E">
      <w:pPr>
        <w:spacing w:line="480" w:lineRule="auto"/>
        <w:rPr>
          <w:color w:val="000000" w:themeColor="text1"/>
          <w:sz w:val="24"/>
          <w:szCs w:val="24"/>
        </w:rPr>
      </w:pPr>
    </w:p>
    <w:p w14:paraId="4E5F8137" w14:textId="77777777" w:rsidR="00E77B4E" w:rsidRDefault="00E77B4E" w:rsidP="00E77B4E">
      <w:pPr>
        <w:spacing w:line="480" w:lineRule="auto"/>
        <w:rPr>
          <w:color w:val="000000" w:themeColor="text1"/>
          <w:sz w:val="24"/>
          <w:szCs w:val="24"/>
        </w:rPr>
      </w:pPr>
    </w:p>
    <w:p w14:paraId="40ECFEEF" w14:textId="77777777" w:rsidR="00E77B4E" w:rsidRDefault="00E77B4E" w:rsidP="00E77B4E">
      <w:pPr>
        <w:spacing w:line="480" w:lineRule="auto"/>
        <w:rPr>
          <w:color w:val="000000" w:themeColor="text1"/>
          <w:sz w:val="24"/>
          <w:szCs w:val="24"/>
        </w:rPr>
      </w:pPr>
    </w:p>
    <w:p w14:paraId="5EFCFC80" w14:textId="77777777" w:rsidR="00E77B4E" w:rsidRDefault="00E77B4E" w:rsidP="00E77B4E">
      <w:pPr>
        <w:spacing w:line="480" w:lineRule="auto"/>
        <w:rPr>
          <w:color w:val="000000" w:themeColor="text1"/>
          <w:sz w:val="24"/>
          <w:szCs w:val="24"/>
        </w:rPr>
      </w:pPr>
    </w:p>
    <w:p w14:paraId="2A6FA6FF" w14:textId="77777777" w:rsidR="00E77B4E" w:rsidRDefault="00E77B4E" w:rsidP="00E77B4E">
      <w:pPr>
        <w:spacing w:line="480" w:lineRule="auto"/>
        <w:rPr>
          <w:color w:val="000000" w:themeColor="text1"/>
          <w:sz w:val="24"/>
          <w:szCs w:val="24"/>
        </w:rPr>
      </w:pPr>
    </w:p>
    <w:p w14:paraId="18665F14" w14:textId="77777777" w:rsidR="00E77B4E" w:rsidRDefault="00E77B4E" w:rsidP="00E77B4E">
      <w:pPr>
        <w:spacing w:line="480" w:lineRule="auto"/>
        <w:rPr>
          <w:color w:val="000000" w:themeColor="text1"/>
          <w:sz w:val="24"/>
          <w:szCs w:val="24"/>
        </w:rPr>
      </w:pPr>
    </w:p>
    <w:p w14:paraId="2A5A3EF6" w14:textId="77777777" w:rsidR="00E77B4E" w:rsidRDefault="00E77B4E" w:rsidP="00E77B4E">
      <w:pPr>
        <w:spacing w:line="480" w:lineRule="auto"/>
        <w:rPr>
          <w:color w:val="000000" w:themeColor="text1"/>
          <w:sz w:val="24"/>
          <w:szCs w:val="24"/>
        </w:rPr>
      </w:pPr>
    </w:p>
    <w:p w14:paraId="632E1BC9" w14:textId="77777777" w:rsidR="00E77B4E" w:rsidRDefault="00E77B4E" w:rsidP="00E77B4E">
      <w:pPr>
        <w:spacing w:line="480" w:lineRule="auto"/>
        <w:rPr>
          <w:color w:val="000000" w:themeColor="text1"/>
          <w:sz w:val="24"/>
          <w:szCs w:val="24"/>
        </w:rPr>
      </w:pPr>
    </w:p>
    <w:p w14:paraId="7AECE59A" w14:textId="77777777" w:rsidR="00E77B4E" w:rsidRDefault="00E77B4E" w:rsidP="00E77B4E">
      <w:pPr>
        <w:spacing w:line="480" w:lineRule="auto"/>
        <w:rPr>
          <w:color w:val="000000" w:themeColor="text1"/>
          <w:sz w:val="24"/>
          <w:szCs w:val="24"/>
        </w:rPr>
      </w:pPr>
    </w:p>
    <w:p w14:paraId="6D314140" w14:textId="77777777" w:rsidR="00E77B4E" w:rsidRDefault="00E77B4E" w:rsidP="00E77B4E">
      <w:pPr>
        <w:spacing w:line="480" w:lineRule="auto"/>
        <w:rPr>
          <w:color w:val="000000" w:themeColor="text1"/>
          <w:sz w:val="24"/>
          <w:szCs w:val="24"/>
        </w:rPr>
      </w:pPr>
    </w:p>
    <w:p w14:paraId="15A11B48" w14:textId="77777777" w:rsidR="00E77B4E" w:rsidRDefault="00E77B4E" w:rsidP="00E77B4E">
      <w:pPr>
        <w:spacing w:line="480" w:lineRule="auto"/>
        <w:rPr>
          <w:color w:val="000000" w:themeColor="text1"/>
          <w:sz w:val="24"/>
          <w:szCs w:val="24"/>
        </w:rPr>
      </w:pPr>
    </w:p>
    <w:p w14:paraId="60A04357" w14:textId="77777777" w:rsidR="00E77B4E" w:rsidRDefault="00E77B4E" w:rsidP="00E77B4E">
      <w:pPr>
        <w:spacing w:line="480" w:lineRule="auto"/>
        <w:rPr>
          <w:color w:val="000000" w:themeColor="text1"/>
          <w:sz w:val="24"/>
          <w:szCs w:val="24"/>
        </w:rPr>
      </w:pPr>
    </w:p>
    <w:p w14:paraId="7F44448E" w14:textId="77777777" w:rsidR="00E77B4E" w:rsidRDefault="00E77B4E" w:rsidP="00E77B4E">
      <w:pPr>
        <w:spacing w:line="480" w:lineRule="auto"/>
        <w:rPr>
          <w:color w:val="000000" w:themeColor="text1"/>
          <w:sz w:val="24"/>
          <w:szCs w:val="24"/>
        </w:rPr>
      </w:pPr>
    </w:p>
    <w:p w14:paraId="790707A0" w14:textId="77777777" w:rsidR="00E77B4E" w:rsidRPr="00505D92" w:rsidRDefault="00E77B4E" w:rsidP="00E77B4E">
      <w:pPr>
        <w:widowControl/>
        <w:shd w:val="clear" w:color="auto" w:fill="FFFFFF"/>
        <w:spacing w:before="240" w:after="0" w:line="480" w:lineRule="auto"/>
        <w:jc w:val="left"/>
        <w:rPr>
          <w:rFonts w:eastAsia="宋体"/>
          <w:color w:val="000000" w:themeColor="text1"/>
          <w:kern w:val="0"/>
          <w:sz w:val="24"/>
          <w:szCs w:val="24"/>
          <w:shd w:val="clear" w:color="auto" w:fill="FFFFFF"/>
        </w:rPr>
      </w:pPr>
      <w:r w:rsidRPr="00301377">
        <w:rPr>
          <w:rFonts w:eastAsia="宋体"/>
          <w:b/>
          <w:bCs/>
          <w:color w:val="000000" w:themeColor="text1"/>
          <w:kern w:val="0"/>
          <w:sz w:val="24"/>
          <w:szCs w:val="24"/>
        </w:rPr>
        <w:t xml:space="preserve">Supplementary Figure </w:t>
      </w:r>
      <w:r>
        <w:rPr>
          <w:rFonts w:eastAsia="宋体" w:hint="eastAsia"/>
          <w:b/>
          <w:bCs/>
          <w:color w:val="000000" w:themeColor="text1"/>
          <w:kern w:val="0"/>
          <w:sz w:val="24"/>
          <w:szCs w:val="24"/>
        </w:rPr>
        <w:t>9</w:t>
      </w:r>
      <w:r w:rsidRPr="00301377">
        <w:rPr>
          <w:rFonts w:eastAsia="宋体"/>
          <w:b/>
          <w:bCs/>
          <w:color w:val="000000" w:themeColor="text1"/>
          <w:kern w:val="0"/>
          <w:sz w:val="24"/>
          <w:szCs w:val="24"/>
        </w:rPr>
        <w:t>. Sub-clustering and transcriptomic characterization of the Th17 cell population.</w:t>
      </w:r>
    </w:p>
    <w:p w14:paraId="1DBC71B3"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r w:rsidRPr="00505D92">
        <w:rPr>
          <w:rFonts w:eastAsia="宋体"/>
          <w:b/>
          <w:bCs/>
          <w:color w:val="000000" w:themeColor="text1"/>
          <w:kern w:val="0"/>
          <w:sz w:val="24"/>
          <w:szCs w:val="24"/>
        </w:rPr>
        <w:t>(A)</w:t>
      </w:r>
      <w:r w:rsidRPr="00301377">
        <w:rPr>
          <w:rFonts w:eastAsia="宋体"/>
          <w:color w:val="000000" w:themeColor="text1"/>
          <w:kern w:val="0"/>
          <w:sz w:val="24"/>
          <w:szCs w:val="24"/>
        </w:rPr>
        <w:t xml:space="preserve"> </w:t>
      </w:r>
      <w:r w:rsidRPr="00505D92">
        <w:rPr>
          <w:rFonts w:eastAsia="宋体"/>
          <w:color w:val="000000" w:themeColor="text1"/>
          <w:kern w:val="0"/>
          <w:sz w:val="24"/>
          <w:szCs w:val="24"/>
        </w:rPr>
        <w:t>t-SNE visualization illustrating the sub-clustering strategy and transition from CD4+ T cells to the identified Th17 cell cluster.</w:t>
      </w:r>
      <w:r w:rsidRPr="00505D92">
        <w:rPr>
          <w:rFonts w:eastAsia="宋体"/>
          <w:b/>
          <w:bCs/>
          <w:color w:val="000000" w:themeColor="text1"/>
          <w:kern w:val="0"/>
          <w:sz w:val="24"/>
          <w:szCs w:val="24"/>
        </w:rPr>
        <w:t xml:space="preserve"> (B) </w:t>
      </w:r>
      <w:r w:rsidRPr="00505D92">
        <w:rPr>
          <w:rFonts w:eastAsia="宋体"/>
          <w:color w:val="000000" w:themeColor="text1"/>
          <w:kern w:val="0"/>
          <w:sz w:val="24"/>
          <w:szCs w:val="24"/>
        </w:rPr>
        <w:t xml:space="preserve">Heatmaps display the expression profiles of lineage-specific </w:t>
      </w:r>
      <w:r w:rsidRPr="00505D92">
        <w:rPr>
          <w:rFonts w:eastAsia="宋体"/>
          <w:color w:val="000000" w:themeColor="text1"/>
          <w:kern w:val="0"/>
          <w:sz w:val="24"/>
          <w:szCs w:val="24"/>
        </w:rPr>
        <w:lastRenderedPageBreak/>
        <w:t>marker genes used for the classification and validation of immune cell subsets.</w:t>
      </w:r>
      <w:r w:rsidRPr="00505D92">
        <w:rPr>
          <w:rFonts w:eastAsia="宋体"/>
          <w:b/>
          <w:bCs/>
          <w:color w:val="000000" w:themeColor="text1"/>
          <w:kern w:val="0"/>
          <w:sz w:val="24"/>
          <w:szCs w:val="24"/>
        </w:rPr>
        <w:t xml:space="preserve"> (C) </w:t>
      </w:r>
      <w:r w:rsidRPr="00505D92">
        <w:rPr>
          <w:rFonts w:eastAsia="宋体"/>
          <w:color w:val="000000" w:themeColor="text1"/>
          <w:kern w:val="0"/>
          <w:sz w:val="24"/>
          <w:szCs w:val="24"/>
        </w:rPr>
        <w:t>Volcano plot showing DEGs within the CD4+ Th17 cell subset between vehicle and TYK2i groups.</w:t>
      </w:r>
      <w:r w:rsidRPr="00505D92">
        <w:rPr>
          <w:rFonts w:eastAsia="宋体"/>
          <w:b/>
          <w:bCs/>
          <w:color w:val="000000" w:themeColor="text1"/>
          <w:kern w:val="0"/>
          <w:sz w:val="24"/>
          <w:szCs w:val="24"/>
        </w:rPr>
        <w:t xml:space="preserve"> (D)</w:t>
      </w:r>
      <w:r w:rsidRPr="00505D92">
        <w:rPr>
          <w:rFonts w:eastAsia="宋体"/>
          <w:color w:val="000000" w:themeColor="text1"/>
          <w:kern w:val="0"/>
          <w:sz w:val="24"/>
          <w:szCs w:val="24"/>
        </w:rPr>
        <w:t xml:space="preserve"> Functional enrichment analyses showing the top GO and KEGG terms associated with the significantly downregulated DEGs</w:t>
      </w:r>
      <w:r>
        <w:rPr>
          <w:rFonts w:eastAsia="宋体"/>
          <w:color w:val="000000" w:themeColor="text1"/>
          <w:kern w:val="0"/>
          <w:sz w:val="24"/>
          <w:szCs w:val="24"/>
        </w:rPr>
        <w:t xml:space="preserve"> </w:t>
      </w:r>
      <w:r w:rsidRPr="00665149">
        <w:rPr>
          <w:rFonts w:eastAsia="宋体"/>
          <w:color w:val="000000" w:themeColor="text1"/>
          <w:kern w:val="0"/>
          <w:sz w:val="24"/>
          <w:szCs w:val="24"/>
        </w:rPr>
        <w:t>within the CD4+ Th17 cell subset</w:t>
      </w:r>
      <w:r w:rsidRPr="00505D92">
        <w:rPr>
          <w:rFonts w:eastAsia="宋体"/>
          <w:color w:val="000000" w:themeColor="text1"/>
          <w:kern w:val="0"/>
          <w:sz w:val="24"/>
          <w:szCs w:val="24"/>
        </w:rPr>
        <w:t xml:space="preserve">. </w:t>
      </w:r>
    </w:p>
    <w:p w14:paraId="61629B25" w14:textId="77777777" w:rsidR="00E77B4E" w:rsidRDefault="00E77B4E" w:rsidP="00E77B4E">
      <w:pPr>
        <w:spacing w:line="480" w:lineRule="auto"/>
        <w:rPr>
          <w:color w:val="000000" w:themeColor="text1"/>
          <w:sz w:val="24"/>
          <w:szCs w:val="24"/>
        </w:rPr>
      </w:pPr>
    </w:p>
    <w:p w14:paraId="1EE6C059" w14:textId="77777777" w:rsidR="00E77B4E" w:rsidRDefault="00E77B4E" w:rsidP="00E77B4E">
      <w:pPr>
        <w:spacing w:line="480" w:lineRule="auto"/>
        <w:rPr>
          <w:color w:val="000000" w:themeColor="text1"/>
          <w:sz w:val="24"/>
          <w:szCs w:val="24"/>
        </w:rPr>
      </w:pPr>
    </w:p>
    <w:p w14:paraId="156DCB02" w14:textId="77777777" w:rsidR="00E77B4E" w:rsidRDefault="00E77B4E" w:rsidP="00E77B4E">
      <w:pPr>
        <w:spacing w:line="480" w:lineRule="auto"/>
        <w:rPr>
          <w:color w:val="000000" w:themeColor="text1"/>
          <w:sz w:val="24"/>
          <w:szCs w:val="24"/>
        </w:rPr>
      </w:pPr>
    </w:p>
    <w:p w14:paraId="3011D9CE" w14:textId="77777777" w:rsidR="00E77B4E" w:rsidRDefault="00E77B4E" w:rsidP="00E77B4E">
      <w:pPr>
        <w:spacing w:line="480" w:lineRule="auto"/>
        <w:rPr>
          <w:color w:val="000000" w:themeColor="text1"/>
          <w:sz w:val="24"/>
          <w:szCs w:val="24"/>
        </w:rPr>
      </w:pPr>
    </w:p>
    <w:p w14:paraId="37DD71A7" w14:textId="77777777" w:rsidR="00E77B4E" w:rsidRDefault="00E77B4E" w:rsidP="00E77B4E">
      <w:pPr>
        <w:spacing w:line="480" w:lineRule="auto"/>
        <w:rPr>
          <w:color w:val="000000" w:themeColor="text1"/>
          <w:sz w:val="24"/>
          <w:szCs w:val="24"/>
        </w:rPr>
      </w:pPr>
    </w:p>
    <w:p w14:paraId="455DE7E3" w14:textId="77777777" w:rsidR="00E77B4E" w:rsidRDefault="00E77B4E" w:rsidP="00E77B4E">
      <w:pPr>
        <w:spacing w:line="480" w:lineRule="auto"/>
        <w:rPr>
          <w:color w:val="000000" w:themeColor="text1"/>
          <w:sz w:val="24"/>
          <w:szCs w:val="24"/>
        </w:rPr>
      </w:pPr>
    </w:p>
    <w:p w14:paraId="3E95CF99" w14:textId="77777777" w:rsidR="00E77B4E" w:rsidRDefault="00E77B4E" w:rsidP="00E77B4E">
      <w:pPr>
        <w:spacing w:line="480" w:lineRule="auto"/>
        <w:rPr>
          <w:color w:val="000000" w:themeColor="text1"/>
          <w:sz w:val="24"/>
          <w:szCs w:val="24"/>
        </w:rPr>
      </w:pPr>
    </w:p>
    <w:p w14:paraId="1449FC26" w14:textId="77777777" w:rsidR="00E77B4E" w:rsidRDefault="00E77B4E" w:rsidP="00E77B4E">
      <w:pPr>
        <w:spacing w:line="480" w:lineRule="auto"/>
        <w:rPr>
          <w:color w:val="000000" w:themeColor="text1"/>
          <w:sz w:val="24"/>
          <w:szCs w:val="24"/>
        </w:rPr>
      </w:pPr>
    </w:p>
    <w:p w14:paraId="755AEFEE" w14:textId="77777777" w:rsidR="00E77B4E" w:rsidRDefault="00E77B4E" w:rsidP="00E77B4E">
      <w:pPr>
        <w:spacing w:line="480" w:lineRule="auto"/>
        <w:rPr>
          <w:color w:val="000000" w:themeColor="text1"/>
          <w:sz w:val="24"/>
          <w:szCs w:val="24"/>
        </w:rPr>
      </w:pPr>
    </w:p>
    <w:p w14:paraId="3CB36B28" w14:textId="77777777" w:rsidR="00E77B4E" w:rsidRPr="00D66AEC" w:rsidRDefault="00E77B4E" w:rsidP="00E77B4E">
      <w:pPr>
        <w:spacing w:line="480" w:lineRule="auto"/>
        <w:rPr>
          <w:color w:val="000000" w:themeColor="text1"/>
          <w:sz w:val="24"/>
          <w:szCs w:val="24"/>
        </w:rPr>
      </w:pPr>
    </w:p>
    <w:p w14:paraId="4A22B45F" w14:textId="77777777" w:rsidR="00E77B4E" w:rsidRDefault="00E77B4E" w:rsidP="00E77B4E">
      <w:pPr>
        <w:spacing w:line="480" w:lineRule="auto"/>
        <w:rPr>
          <w:color w:val="000000" w:themeColor="text1"/>
          <w:sz w:val="24"/>
          <w:szCs w:val="24"/>
        </w:rPr>
      </w:pPr>
    </w:p>
    <w:p w14:paraId="306E8E5C" w14:textId="77777777" w:rsidR="007B0F15" w:rsidRDefault="007B0F15" w:rsidP="007B0F15">
      <w:pPr>
        <w:spacing w:line="480" w:lineRule="auto"/>
        <w:rPr>
          <w:color w:val="000000" w:themeColor="text1"/>
          <w:sz w:val="24"/>
          <w:szCs w:val="24"/>
        </w:rPr>
      </w:pPr>
    </w:p>
    <w:p w14:paraId="1C581DD7" w14:textId="56B405ED" w:rsidR="007B0F15" w:rsidRDefault="00283EBF" w:rsidP="007B0F15">
      <w:pPr>
        <w:spacing w:line="480" w:lineRule="auto"/>
        <w:rPr>
          <w:color w:val="000000" w:themeColor="text1"/>
          <w:sz w:val="24"/>
          <w:szCs w:val="24"/>
        </w:rPr>
      </w:pPr>
      <w:r>
        <w:rPr>
          <w:noProof/>
        </w:rPr>
        <w:drawing>
          <wp:anchor distT="0" distB="0" distL="114300" distR="114300" simplePos="0" relativeHeight="251685888" behindDoc="1" locked="0" layoutInCell="1" allowOverlap="1" wp14:anchorId="52D9501F" wp14:editId="5B93C26C">
            <wp:simplePos x="0" y="0"/>
            <wp:positionH relativeFrom="column">
              <wp:posOffset>107950</wp:posOffset>
            </wp:positionH>
            <wp:positionV relativeFrom="paragraph">
              <wp:posOffset>195580</wp:posOffset>
            </wp:positionV>
            <wp:extent cx="5943600" cy="6453505"/>
            <wp:effectExtent l="0" t="0" r="0" b="4445"/>
            <wp:wrapNone/>
            <wp:docPr id="10414850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6453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D8057" w14:textId="77777777" w:rsidR="007B0F15" w:rsidRDefault="007B0F15" w:rsidP="007B0F15">
      <w:pPr>
        <w:spacing w:line="480" w:lineRule="auto"/>
        <w:rPr>
          <w:color w:val="000000" w:themeColor="text1"/>
          <w:sz w:val="24"/>
          <w:szCs w:val="24"/>
        </w:rPr>
      </w:pPr>
    </w:p>
    <w:p w14:paraId="18B19580" w14:textId="77777777" w:rsidR="007B0F15" w:rsidRDefault="007B0F15" w:rsidP="007B0F15">
      <w:pPr>
        <w:spacing w:line="480" w:lineRule="auto"/>
        <w:rPr>
          <w:color w:val="000000" w:themeColor="text1"/>
          <w:sz w:val="24"/>
          <w:szCs w:val="24"/>
        </w:rPr>
      </w:pPr>
    </w:p>
    <w:p w14:paraId="6FC107C5" w14:textId="77777777" w:rsidR="007B0F15" w:rsidRDefault="007B0F15" w:rsidP="007B0F15">
      <w:pPr>
        <w:spacing w:line="480" w:lineRule="auto"/>
        <w:rPr>
          <w:color w:val="000000" w:themeColor="text1"/>
          <w:sz w:val="24"/>
          <w:szCs w:val="24"/>
        </w:rPr>
      </w:pPr>
    </w:p>
    <w:p w14:paraId="5B53FA37" w14:textId="77777777" w:rsidR="007B0F15" w:rsidRDefault="007B0F15" w:rsidP="007B0F15">
      <w:pPr>
        <w:spacing w:line="480" w:lineRule="auto"/>
        <w:rPr>
          <w:color w:val="000000" w:themeColor="text1"/>
          <w:sz w:val="24"/>
          <w:szCs w:val="24"/>
        </w:rPr>
      </w:pPr>
    </w:p>
    <w:p w14:paraId="3FB2EE51" w14:textId="77777777" w:rsidR="007B0F15" w:rsidRDefault="007B0F15" w:rsidP="007B0F15">
      <w:pPr>
        <w:spacing w:line="480" w:lineRule="auto"/>
        <w:rPr>
          <w:color w:val="000000" w:themeColor="text1"/>
          <w:sz w:val="24"/>
          <w:szCs w:val="24"/>
        </w:rPr>
      </w:pPr>
    </w:p>
    <w:p w14:paraId="4E6D6733" w14:textId="77777777" w:rsidR="007B0F15" w:rsidRDefault="007B0F15" w:rsidP="007B0F15">
      <w:pPr>
        <w:spacing w:line="480" w:lineRule="auto"/>
        <w:rPr>
          <w:color w:val="000000" w:themeColor="text1"/>
          <w:sz w:val="24"/>
          <w:szCs w:val="24"/>
        </w:rPr>
      </w:pPr>
    </w:p>
    <w:p w14:paraId="561CFE32" w14:textId="77777777" w:rsidR="007B0F15" w:rsidRDefault="007B0F15" w:rsidP="007B0F15">
      <w:pPr>
        <w:spacing w:line="480" w:lineRule="auto"/>
        <w:rPr>
          <w:color w:val="000000" w:themeColor="text1"/>
          <w:sz w:val="24"/>
          <w:szCs w:val="24"/>
        </w:rPr>
      </w:pPr>
    </w:p>
    <w:p w14:paraId="3150A8DE" w14:textId="77777777" w:rsidR="007B0F15" w:rsidRDefault="007B0F15" w:rsidP="007B0F15">
      <w:pPr>
        <w:spacing w:line="480" w:lineRule="auto"/>
        <w:rPr>
          <w:color w:val="000000" w:themeColor="text1"/>
          <w:sz w:val="24"/>
          <w:szCs w:val="24"/>
        </w:rPr>
      </w:pPr>
    </w:p>
    <w:p w14:paraId="7E6B2B48" w14:textId="77777777" w:rsidR="007B0F15" w:rsidRDefault="007B0F15" w:rsidP="007B0F15">
      <w:pPr>
        <w:spacing w:line="480" w:lineRule="auto"/>
        <w:rPr>
          <w:color w:val="000000" w:themeColor="text1"/>
          <w:sz w:val="24"/>
          <w:szCs w:val="24"/>
        </w:rPr>
      </w:pPr>
    </w:p>
    <w:p w14:paraId="706852CD" w14:textId="77777777" w:rsidR="007B0F15" w:rsidRDefault="007B0F15" w:rsidP="007B0F15">
      <w:pPr>
        <w:spacing w:line="480" w:lineRule="auto"/>
        <w:rPr>
          <w:color w:val="000000" w:themeColor="text1"/>
          <w:sz w:val="24"/>
          <w:szCs w:val="24"/>
        </w:rPr>
      </w:pPr>
    </w:p>
    <w:p w14:paraId="6D3D872B" w14:textId="77777777" w:rsidR="007B0F15" w:rsidRDefault="007B0F15" w:rsidP="007B0F15">
      <w:pPr>
        <w:spacing w:line="480" w:lineRule="auto"/>
        <w:rPr>
          <w:color w:val="000000" w:themeColor="text1"/>
          <w:sz w:val="24"/>
          <w:szCs w:val="24"/>
        </w:rPr>
      </w:pPr>
    </w:p>
    <w:p w14:paraId="6C7770D5" w14:textId="77777777" w:rsidR="007B0F15" w:rsidRPr="00D66AEC" w:rsidRDefault="007B0F15" w:rsidP="007B0F15">
      <w:pPr>
        <w:spacing w:line="480" w:lineRule="auto"/>
        <w:rPr>
          <w:color w:val="000000" w:themeColor="text1"/>
          <w:sz w:val="24"/>
          <w:szCs w:val="24"/>
        </w:rPr>
      </w:pPr>
    </w:p>
    <w:p w14:paraId="3D309117" w14:textId="77777777" w:rsidR="007B0F15" w:rsidRDefault="007B0F15" w:rsidP="007B0F15">
      <w:pPr>
        <w:spacing w:line="480" w:lineRule="auto"/>
        <w:rPr>
          <w:color w:val="000000" w:themeColor="text1"/>
          <w:sz w:val="24"/>
          <w:szCs w:val="24"/>
        </w:rPr>
      </w:pPr>
    </w:p>
    <w:p w14:paraId="0B3B06FC" w14:textId="77777777" w:rsidR="007B0F15" w:rsidRDefault="007B0F15" w:rsidP="007B0F15">
      <w:pPr>
        <w:spacing w:line="480" w:lineRule="auto"/>
        <w:rPr>
          <w:color w:val="000000" w:themeColor="text1"/>
          <w:sz w:val="24"/>
          <w:szCs w:val="24"/>
        </w:rPr>
      </w:pPr>
    </w:p>
    <w:p w14:paraId="7287AD0A" w14:textId="77777777" w:rsidR="007B0F15" w:rsidRDefault="007B0F15" w:rsidP="007B0F15">
      <w:pPr>
        <w:spacing w:line="480" w:lineRule="auto"/>
        <w:rPr>
          <w:color w:val="000000" w:themeColor="text1"/>
          <w:sz w:val="24"/>
          <w:szCs w:val="24"/>
        </w:rPr>
      </w:pPr>
    </w:p>
    <w:p w14:paraId="5A063B03" w14:textId="77777777" w:rsidR="007B0F15" w:rsidRPr="00301377" w:rsidRDefault="007B0F15" w:rsidP="007B0F15">
      <w:pPr>
        <w:spacing w:line="480" w:lineRule="auto"/>
        <w:rPr>
          <w:color w:val="000000" w:themeColor="text1"/>
          <w:sz w:val="24"/>
          <w:szCs w:val="24"/>
        </w:rPr>
      </w:pPr>
    </w:p>
    <w:p w14:paraId="3C12CEF6" w14:textId="77777777" w:rsidR="007B0F15" w:rsidRPr="00301377" w:rsidRDefault="007B0F15" w:rsidP="007B0F15">
      <w:pPr>
        <w:widowControl/>
        <w:shd w:val="clear" w:color="auto" w:fill="FFFFFF"/>
        <w:spacing w:before="240" w:after="0" w:line="480" w:lineRule="auto"/>
        <w:jc w:val="left"/>
        <w:rPr>
          <w:rFonts w:eastAsia="宋体"/>
          <w:color w:val="000000" w:themeColor="text1"/>
          <w:kern w:val="0"/>
          <w:sz w:val="24"/>
          <w:szCs w:val="24"/>
        </w:rPr>
      </w:pPr>
      <w:r w:rsidRPr="00301377">
        <w:rPr>
          <w:rFonts w:eastAsia="宋体"/>
          <w:b/>
          <w:bCs/>
          <w:color w:val="000000" w:themeColor="text1"/>
          <w:kern w:val="0"/>
          <w:sz w:val="24"/>
          <w:szCs w:val="24"/>
        </w:rPr>
        <w:t xml:space="preserve">Supplementary Figure </w:t>
      </w:r>
      <w:r>
        <w:rPr>
          <w:rFonts w:eastAsia="宋体" w:hint="eastAsia"/>
          <w:b/>
          <w:bCs/>
          <w:color w:val="000000" w:themeColor="text1"/>
          <w:kern w:val="0"/>
          <w:sz w:val="24"/>
          <w:szCs w:val="24"/>
        </w:rPr>
        <w:t>10</w:t>
      </w:r>
      <w:r w:rsidRPr="00301377">
        <w:rPr>
          <w:rFonts w:eastAsia="宋体"/>
          <w:b/>
          <w:bCs/>
          <w:color w:val="000000" w:themeColor="text1"/>
          <w:kern w:val="0"/>
          <w:sz w:val="24"/>
          <w:szCs w:val="24"/>
        </w:rPr>
        <w:t>. In vivo TYK2 inhibition selectively suppresses</w:t>
      </w:r>
      <w:r w:rsidRPr="00301377">
        <w:rPr>
          <w:rFonts w:eastAsia="宋体"/>
          <w:color w:val="000000" w:themeColor="text1"/>
          <w:kern w:val="0"/>
          <w:sz w:val="24"/>
          <w:szCs w:val="24"/>
        </w:rPr>
        <w:t xml:space="preserve"> </w:t>
      </w:r>
      <w:r w:rsidRPr="00301377">
        <w:rPr>
          <w:rFonts w:eastAsia="宋体"/>
          <w:b/>
          <w:bCs/>
          <w:color w:val="000000" w:themeColor="text1"/>
          <w:kern w:val="0"/>
          <w:sz w:val="24"/>
          <w:szCs w:val="24"/>
        </w:rPr>
        <w:t xml:space="preserve">pathogenic STAT signaling while preserving the IL-2/STAT5 axis </w:t>
      </w:r>
      <w:r w:rsidRPr="003A7860">
        <w:rPr>
          <w:rFonts w:eastAsia="宋体"/>
          <w:b/>
          <w:bCs/>
          <w:color w:val="000000" w:themeColor="text1"/>
          <w:kern w:val="0"/>
          <w:sz w:val="24"/>
          <w:szCs w:val="24"/>
        </w:rPr>
        <w:t xml:space="preserve">in the </w:t>
      </w:r>
      <w:proofErr w:type="spellStart"/>
      <w:r w:rsidRPr="003A7860">
        <w:rPr>
          <w:rFonts w:eastAsia="宋体"/>
          <w:b/>
          <w:bCs/>
          <w:color w:val="000000" w:themeColor="text1"/>
          <w:kern w:val="0"/>
          <w:sz w:val="24"/>
          <w:szCs w:val="24"/>
        </w:rPr>
        <w:t>dLNs</w:t>
      </w:r>
      <w:proofErr w:type="spellEnd"/>
      <w:r w:rsidRPr="003A7860">
        <w:rPr>
          <w:rFonts w:eastAsia="宋体"/>
          <w:b/>
          <w:bCs/>
          <w:color w:val="000000" w:themeColor="text1"/>
          <w:kern w:val="0"/>
          <w:sz w:val="24"/>
          <w:szCs w:val="24"/>
        </w:rPr>
        <w:t xml:space="preserve"> of EAU mice</w:t>
      </w:r>
      <w:r w:rsidRPr="00301377">
        <w:rPr>
          <w:rFonts w:eastAsia="宋体"/>
          <w:b/>
          <w:bCs/>
          <w:color w:val="000000" w:themeColor="text1"/>
          <w:kern w:val="0"/>
          <w:sz w:val="24"/>
          <w:szCs w:val="24"/>
        </w:rPr>
        <w:t>.</w:t>
      </w:r>
      <w:r w:rsidRPr="00301377">
        <w:rPr>
          <w:rFonts w:eastAsia="宋体"/>
          <w:color w:val="000000" w:themeColor="text1"/>
          <w:kern w:val="0"/>
          <w:sz w:val="24"/>
          <w:szCs w:val="24"/>
        </w:rPr>
        <w:t xml:space="preserve"> </w:t>
      </w:r>
    </w:p>
    <w:p w14:paraId="389A8A49" w14:textId="77777777" w:rsidR="007B0F15" w:rsidRPr="00505D92" w:rsidRDefault="007B0F15" w:rsidP="007B0F15">
      <w:pPr>
        <w:widowControl/>
        <w:shd w:val="clear" w:color="auto" w:fill="FFFFFF"/>
        <w:spacing w:before="240" w:after="0" w:line="480" w:lineRule="auto"/>
        <w:rPr>
          <w:rFonts w:eastAsia="宋体"/>
          <w:color w:val="000000" w:themeColor="text1"/>
          <w:kern w:val="0"/>
          <w:sz w:val="24"/>
          <w:szCs w:val="24"/>
          <w:shd w:val="clear" w:color="auto" w:fill="FFFFFF"/>
        </w:rPr>
      </w:pPr>
      <w:r w:rsidRPr="00B70CF3">
        <w:rPr>
          <w:rFonts w:eastAsia="宋体"/>
          <w:b/>
          <w:bCs/>
          <w:color w:val="000000" w:themeColor="text1"/>
          <w:kern w:val="0"/>
          <w:sz w:val="24"/>
          <w:szCs w:val="24"/>
        </w:rPr>
        <w:t>(A</w:t>
      </w:r>
      <w:r>
        <w:rPr>
          <w:rFonts w:eastAsia="宋体"/>
          <w:b/>
          <w:bCs/>
          <w:color w:val="000000" w:themeColor="text1"/>
          <w:kern w:val="0"/>
          <w:sz w:val="24"/>
          <w:szCs w:val="24"/>
        </w:rPr>
        <w:t>,</w:t>
      </w:r>
      <w:r w:rsidRPr="00B70CF3">
        <w:rPr>
          <w:rFonts w:eastAsia="宋体"/>
          <w:b/>
          <w:bCs/>
          <w:color w:val="000000" w:themeColor="text1"/>
          <w:kern w:val="0"/>
          <w:sz w:val="24"/>
          <w:szCs w:val="24"/>
        </w:rPr>
        <w:t xml:space="preserve"> B) </w:t>
      </w:r>
      <w:r w:rsidRPr="00505D92">
        <w:rPr>
          <w:rFonts w:eastAsia="宋体"/>
          <w:color w:val="000000" w:themeColor="text1"/>
          <w:kern w:val="0"/>
          <w:sz w:val="24"/>
          <w:szCs w:val="24"/>
        </w:rPr>
        <w:t xml:space="preserve">Representative flow cytometry histograms and summary </w:t>
      </w:r>
      <w:proofErr w:type="spellStart"/>
      <w:r w:rsidRPr="00505D92">
        <w:rPr>
          <w:rFonts w:eastAsia="宋体"/>
          <w:color w:val="000000" w:themeColor="text1"/>
          <w:kern w:val="0"/>
          <w:sz w:val="24"/>
          <w:szCs w:val="24"/>
        </w:rPr>
        <w:t>gMFI</w:t>
      </w:r>
      <w:proofErr w:type="spellEnd"/>
      <w:r w:rsidRPr="00505D92">
        <w:rPr>
          <w:rFonts w:eastAsia="宋体"/>
          <w:color w:val="000000" w:themeColor="text1"/>
          <w:kern w:val="0"/>
          <w:sz w:val="24"/>
          <w:szCs w:val="24"/>
        </w:rPr>
        <w:t xml:space="preserve"> data showing the induction of p-TYK2 (unstimulated vs. stimulated) and the subsequent inhibition of p-STAT1 and p-STAT2 (vehicle vs. TYK2i) following stimulation with IFN-α </w:t>
      </w:r>
      <w:r w:rsidRPr="00B70CF3">
        <w:rPr>
          <w:rFonts w:eastAsia="宋体"/>
          <w:b/>
          <w:bCs/>
          <w:color w:val="000000" w:themeColor="text1"/>
          <w:kern w:val="0"/>
          <w:sz w:val="24"/>
          <w:szCs w:val="24"/>
        </w:rPr>
        <w:t>(A)</w:t>
      </w:r>
      <w:r w:rsidRPr="00505D92">
        <w:rPr>
          <w:rFonts w:eastAsia="宋体"/>
          <w:color w:val="000000" w:themeColor="text1"/>
          <w:kern w:val="0"/>
          <w:sz w:val="24"/>
          <w:szCs w:val="24"/>
        </w:rPr>
        <w:t xml:space="preserve"> or IFN-β </w:t>
      </w:r>
      <w:r w:rsidRPr="00B70CF3">
        <w:rPr>
          <w:rFonts w:eastAsia="宋体"/>
          <w:b/>
          <w:bCs/>
          <w:color w:val="000000" w:themeColor="text1"/>
          <w:kern w:val="0"/>
          <w:sz w:val="24"/>
          <w:szCs w:val="24"/>
        </w:rPr>
        <w:t>(B)</w:t>
      </w:r>
      <w:r w:rsidRPr="00505D92">
        <w:rPr>
          <w:rFonts w:eastAsia="宋体"/>
          <w:color w:val="000000" w:themeColor="text1"/>
          <w:kern w:val="0"/>
          <w:sz w:val="24"/>
          <w:szCs w:val="24"/>
        </w:rPr>
        <w:t xml:space="preserve"> in CD4+ T cells and in </w:t>
      </w:r>
      <w:r w:rsidRPr="00505D92">
        <w:rPr>
          <w:rFonts w:eastAsia="宋体"/>
          <w:color w:val="000000" w:themeColor="text1"/>
          <w:kern w:val="0"/>
          <w:sz w:val="24"/>
          <w:szCs w:val="24"/>
        </w:rPr>
        <w:lastRenderedPageBreak/>
        <w:t xml:space="preserve">Th1 and Th17 subsets. </w:t>
      </w:r>
      <w:r w:rsidRPr="00B70CF3">
        <w:rPr>
          <w:rFonts w:eastAsia="宋体"/>
          <w:b/>
          <w:bCs/>
          <w:color w:val="000000" w:themeColor="text1"/>
          <w:kern w:val="0"/>
          <w:sz w:val="24"/>
          <w:szCs w:val="24"/>
        </w:rPr>
        <w:t>(C)</w:t>
      </w:r>
      <w:r w:rsidRPr="00505D92">
        <w:rPr>
          <w:rFonts w:eastAsia="宋体"/>
          <w:color w:val="000000" w:themeColor="text1"/>
          <w:kern w:val="0"/>
          <w:sz w:val="24"/>
          <w:szCs w:val="24"/>
        </w:rPr>
        <w:t xml:space="preserve"> </w:t>
      </w:r>
      <w:r>
        <w:rPr>
          <w:rFonts w:eastAsia="宋体"/>
          <w:color w:val="000000" w:themeColor="text1"/>
          <w:kern w:val="0"/>
          <w:sz w:val="24"/>
          <w:szCs w:val="24"/>
        </w:rPr>
        <w:t>L</w:t>
      </w:r>
      <w:r w:rsidRPr="00C525EB">
        <w:rPr>
          <w:rFonts w:eastAsia="宋体"/>
          <w:color w:val="000000" w:themeColor="text1"/>
          <w:kern w:val="0"/>
          <w:sz w:val="24"/>
          <w:szCs w:val="24"/>
        </w:rPr>
        <w:t>evels</w:t>
      </w:r>
      <w:r w:rsidRPr="00505D92">
        <w:rPr>
          <w:rFonts w:eastAsia="宋体"/>
          <w:color w:val="000000" w:themeColor="text1"/>
          <w:kern w:val="0"/>
          <w:sz w:val="24"/>
          <w:szCs w:val="24"/>
        </w:rPr>
        <w:t xml:space="preserve"> of p-TYK2 induction and p-STAT3 inhibition following IL-23 stimulation in CD4+ T cells and in the Th1 and Th17 subsets. </w:t>
      </w:r>
      <w:r w:rsidRPr="00B70CF3">
        <w:rPr>
          <w:rFonts w:eastAsia="宋体"/>
          <w:b/>
          <w:bCs/>
          <w:color w:val="000000" w:themeColor="text1"/>
          <w:kern w:val="0"/>
          <w:sz w:val="24"/>
          <w:szCs w:val="24"/>
        </w:rPr>
        <w:t>(D)</w:t>
      </w:r>
      <w:r w:rsidRPr="00505D92">
        <w:rPr>
          <w:rFonts w:eastAsia="宋体"/>
          <w:color w:val="000000" w:themeColor="text1"/>
          <w:kern w:val="0"/>
          <w:sz w:val="24"/>
          <w:szCs w:val="24"/>
        </w:rPr>
        <w:t xml:space="preserve"> </w:t>
      </w:r>
      <w:r>
        <w:rPr>
          <w:rFonts w:eastAsia="宋体"/>
          <w:color w:val="000000" w:themeColor="text1"/>
          <w:kern w:val="0"/>
          <w:sz w:val="24"/>
          <w:szCs w:val="24"/>
        </w:rPr>
        <w:t>L</w:t>
      </w:r>
      <w:r w:rsidRPr="00C525EB">
        <w:rPr>
          <w:rFonts w:eastAsia="宋体"/>
          <w:color w:val="000000" w:themeColor="text1"/>
          <w:kern w:val="0"/>
          <w:sz w:val="24"/>
          <w:szCs w:val="24"/>
        </w:rPr>
        <w:t>evels</w:t>
      </w:r>
      <w:r w:rsidRPr="00505D92">
        <w:rPr>
          <w:rFonts w:eastAsia="宋体"/>
          <w:color w:val="000000" w:themeColor="text1"/>
          <w:kern w:val="0"/>
          <w:sz w:val="24"/>
          <w:szCs w:val="24"/>
        </w:rPr>
        <w:t xml:space="preserve"> of p-TYK2 induction and p-STAT4 inhibition following IL-12 stimulation in CD4+ T cells and in the Th1 and Th17 subsets. </w:t>
      </w:r>
      <w:r w:rsidRPr="00B70CF3">
        <w:rPr>
          <w:rFonts w:eastAsia="宋体"/>
          <w:b/>
          <w:bCs/>
          <w:color w:val="000000" w:themeColor="text1"/>
          <w:kern w:val="0"/>
          <w:sz w:val="24"/>
          <w:szCs w:val="24"/>
        </w:rPr>
        <w:t>(E)</w:t>
      </w:r>
      <w:r w:rsidRPr="00505D92">
        <w:rPr>
          <w:rFonts w:eastAsia="宋体"/>
          <w:color w:val="000000" w:themeColor="text1"/>
          <w:kern w:val="0"/>
          <w:sz w:val="24"/>
          <w:szCs w:val="24"/>
        </w:rPr>
        <w:t xml:space="preserve"> </w:t>
      </w:r>
      <w:r>
        <w:rPr>
          <w:rFonts w:eastAsia="宋体"/>
          <w:color w:val="000000" w:themeColor="text1"/>
          <w:kern w:val="0"/>
          <w:sz w:val="24"/>
          <w:szCs w:val="24"/>
        </w:rPr>
        <w:t>L</w:t>
      </w:r>
      <w:r w:rsidRPr="00C525EB">
        <w:rPr>
          <w:rFonts w:eastAsia="宋体"/>
          <w:color w:val="000000" w:themeColor="text1"/>
          <w:kern w:val="0"/>
          <w:sz w:val="24"/>
          <w:szCs w:val="24"/>
        </w:rPr>
        <w:t>evels</w:t>
      </w:r>
      <w:r w:rsidRPr="00505D92">
        <w:rPr>
          <w:rFonts w:eastAsia="宋体"/>
          <w:color w:val="000000" w:themeColor="text1"/>
          <w:kern w:val="0"/>
          <w:sz w:val="24"/>
          <w:szCs w:val="24"/>
        </w:rPr>
        <w:t xml:space="preserve"> of p-TYK2 induction and p-STAT5 inhibition following IL-2 stimulation in CD4+ T cells and Foxp3+ Treg</w:t>
      </w:r>
      <w:r w:rsidRPr="001177AC">
        <w:rPr>
          <w:rFonts w:eastAsia="宋体"/>
          <w:color w:val="000000" w:themeColor="text1"/>
          <w:kern w:val="0"/>
          <w:sz w:val="24"/>
          <w:szCs w:val="24"/>
        </w:rPr>
        <w:t>.</w:t>
      </w:r>
      <w:r>
        <w:rPr>
          <w:rFonts w:eastAsia="宋体"/>
          <w:color w:val="000000" w:themeColor="text1"/>
          <w:kern w:val="0"/>
          <w:sz w:val="24"/>
          <w:szCs w:val="24"/>
        </w:rPr>
        <w:t xml:space="preserve"> </w:t>
      </w:r>
      <w:r w:rsidRPr="00C209AD">
        <w:rPr>
          <w:rFonts w:eastAsia="宋体"/>
          <w:color w:val="000000" w:themeColor="text1"/>
          <w:kern w:val="0"/>
          <w:sz w:val="24"/>
          <w:szCs w:val="24"/>
        </w:rPr>
        <w:t>Cell populations are distinguished by color: CD4</w:t>
      </w:r>
      <w:r>
        <w:rPr>
          <w:rFonts w:eastAsia="宋体"/>
          <w:color w:val="000000" w:themeColor="text1"/>
          <w:kern w:val="0"/>
          <w:sz w:val="24"/>
          <w:szCs w:val="24"/>
        </w:rPr>
        <w:t>+</w:t>
      </w:r>
      <w:r w:rsidRPr="00C209AD">
        <w:rPr>
          <w:rFonts w:eastAsia="宋体"/>
          <w:color w:val="000000" w:themeColor="text1"/>
          <w:kern w:val="0"/>
          <w:sz w:val="24"/>
          <w:szCs w:val="24"/>
        </w:rPr>
        <w:t xml:space="preserve"> T cells (purple), Th1 subsets (red), Th17 subsets (blue), and Foxp3</w:t>
      </w:r>
      <w:r>
        <w:rPr>
          <w:rFonts w:eastAsia="宋体"/>
          <w:color w:val="000000" w:themeColor="text1"/>
          <w:kern w:val="0"/>
          <w:sz w:val="24"/>
          <w:szCs w:val="24"/>
        </w:rPr>
        <w:t>+</w:t>
      </w:r>
      <w:r w:rsidRPr="00C209AD">
        <w:rPr>
          <w:rFonts w:eastAsia="宋体"/>
          <w:color w:val="000000" w:themeColor="text1"/>
          <w:kern w:val="0"/>
          <w:sz w:val="24"/>
          <w:szCs w:val="24"/>
        </w:rPr>
        <w:t xml:space="preserve"> Tregs (red).</w:t>
      </w:r>
      <w:r w:rsidRPr="00301377">
        <w:rPr>
          <w:rFonts w:eastAsia="宋体"/>
          <w:color w:val="000000" w:themeColor="text1"/>
          <w:kern w:val="0"/>
          <w:sz w:val="24"/>
          <w:szCs w:val="24"/>
        </w:rPr>
        <w:t xml:space="preserve"> Data are presented as mean ± SEM (n = 5). Statistical significance was determined by unpaired two-tailed Student’s t-test (*p &lt; 0.05, **p &lt; 0.01, and ***p &lt; 0.001, ****p &lt; 0.0001, ns, not significant).</w:t>
      </w:r>
    </w:p>
    <w:p w14:paraId="1BB7E0F9" w14:textId="77777777" w:rsidR="00E77B4E" w:rsidRDefault="00E77B4E" w:rsidP="00E77B4E">
      <w:pPr>
        <w:spacing w:line="480" w:lineRule="auto"/>
        <w:rPr>
          <w:color w:val="000000" w:themeColor="text1"/>
          <w:sz w:val="24"/>
          <w:szCs w:val="24"/>
        </w:rPr>
      </w:pPr>
    </w:p>
    <w:p w14:paraId="783E6AC0" w14:textId="77777777" w:rsidR="00E77B4E" w:rsidRDefault="00E77B4E" w:rsidP="00E77B4E">
      <w:pPr>
        <w:widowControl/>
        <w:shd w:val="clear" w:color="auto" w:fill="FFFFFF"/>
        <w:spacing w:before="240" w:after="0" w:line="480" w:lineRule="auto"/>
        <w:jc w:val="left"/>
        <w:rPr>
          <w:rFonts w:eastAsia="宋体"/>
          <w:b/>
          <w:bCs/>
          <w:color w:val="000000" w:themeColor="text1"/>
          <w:kern w:val="0"/>
          <w:sz w:val="24"/>
          <w:szCs w:val="24"/>
        </w:rPr>
      </w:pPr>
    </w:p>
    <w:p w14:paraId="0D922DBB" w14:textId="77777777" w:rsidR="00E77B4E" w:rsidRDefault="00E77B4E" w:rsidP="00E77B4E">
      <w:pPr>
        <w:spacing w:line="480" w:lineRule="auto"/>
        <w:rPr>
          <w:color w:val="000000" w:themeColor="text1"/>
          <w:sz w:val="24"/>
          <w:szCs w:val="24"/>
        </w:rPr>
      </w:pPr>
    </w:p>
    <w:p w14:paraId="3BF11AA7" w14:textId="77777777" w:rsidR="00E77B4E" w:rsidRDefault="00E77B4E" w:rsidP="00E77B4E">
      <w:pPr>
        <w:spacing w:line="480" w:lineRule="auto"/>
        <w:rPr>
          <w:color w:val="000000" w:themeColor="text1"/>
          <w:sz w:val="24"/>
          <w:szCs w:val="24"/>
        </w:rPr>
      </w:pPr>
    </w:p>
    <w:p w14:paraId="2B984998" w14:textId="77777777" w:rsidR="00E77B4E" w:rsidRDefault="00E77B4E" w:rsidP="00E77B4E">
      <w:pPr>
        <w:spacing w:line="480" w:lineRule="auto"/>
        <w:rPr>
          <w:color w:val="000000" w:themeColor="text1"/>
          <w:sz w:val="24"/>
          <w:szCs w:val="24"/>
        </w:rPr>
      </w:pPr>
    </w:p>
    <w:p w14:paraId="0C4C064B" w14:textId="77777777" w:rsidR="00E77B4E" w:rsidRDefault="00E77B4E" w:rsidP="00E77B4E">
      <w:pPr>
        <w:spacing w:line="480" w:lineRule="auto"/>
        <w:rPr>
          <w:color w:val="000000" w:themeColor="text1"/>
          <w:sz w:val="24"/>
          <w:szCs w:val="24"/>
        </w:rPr>
      </w:pPr>
    </w:p>
    <w:p w14:paraId="5B9A15F4" w14:textId="77777777" w:rsidR="00E77B4E" w:rsidRDefault="00E77B4E" w:rsidP="00E77B4E">
      <w:pPr>
        <w:spacing w:line="480" w:lineRule="auto"/>
        <w:rPr>
          <w:color w:val="000000" w:themeColor="text1"/>
          <w:sz w:val="24"/>
          <w:szCs w:val="24"/>
        </w:rPr>
      </w:pPr>
    </w:p>
    <w:p w14:paraId="41492003" w14:textId="77777777" w:rsidR="00E77B4E" w:rsidRDefault="00E77B4E" w:rsidP="00E77B4E">
      <w:pPr>
        <w:spacing w:line="480" w:lineRule="auto"/>
        <w:rPr>
          <w:color w:val="000000" w:themeColor="text1"/>
          <w:sz w:val="24"/>
          <w:szCs w:val="24"/>
        </w:rPr>
      </w:pPr>
    </w:p>
    <w:p w14:paraId="2D5DDBEC" w14:textId="77777777" w:rsidR="00E77B4E" w:rsidRDefault="00E77B4E" w:rsidP="00E77B4E">
      <w:pPr>
        <w:spacing w:line="480" w:lineRule="auto"/>
        <w:rPr>
          <w:color w:val="000000" w:themeColor="text1"/>
          <w:sz w:val="24"/>
          <w:szCs w:val="24"/>
        </w:rPr>
      </w:pPr>
    </w:p>
    <w:p w14:paraId="04CAB57E" w14:textId="77777777" w:rsidR="007B0F15" w:rsidRDefault="007B0F15" w:rsidP="007B0F15">
      <w:pPr>
        <w:spacing w:line="480" w:lineRule="auto"/>
        <w:rPr>
          <w:color w:val="000000" w:themeColor="text1"/>
          <w:sz w:val="24"/>
          <w:szCs w:val="28"/>
        </w:rPr>
      </w:pPr>
    </w:p>
    <w:p w14:paraId="6FA1648F" w14:textId="5BCDA3EE" w:rsidR="007B0F15" w:rsidRDefault="00283EBF" w:rsidP="007B0F15">
      <w:pPr>
        <w:spacing w:line="480" w:lineRule="auto"/>
        <w:rPr>
          <w:color w:val="000000" w:themeColor="text1"/>
          <w:sz w:val="24"/>
          <w:szCs w:val="28"/>
        </w:rPr>
      </w:pPr>
      <w:r>
        <w:rPr>
          <w:noProof/>
        </w:rPr>
        <w:drawing>
          <wp:anchor distT="0" distB="0" distL="114300" distR="114300" simplePos="0" relativeHeight="251686912" behindDoc="1" locked="0" layoutInCell="1" allowOverlap="1" wp14:anchorId="466279E6" wp14:editId="0D6E80EA">
            <wp:simplePos x="0" y="0"/>
            <wp:positionH relativeFrom="column">
              <wp:posOffset>0</wp:posOffset>
            </wp:positionH>
            <wp:positionV relativeFrom="paragraph">
              <wp:posOffset>-904240</wp:posOffset>
            </wp:positionV>
            <wp:extent cx="5943600" cy="7613015"/>
            <wp:effectExtent l="0" t="0" r="0" b="6985"/>
            <wp:wrapNone/>
            <wp:docPr id="11497640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13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BAE39" w14:textId="77777777" w:rsidR="007B0F15" w:rsidRDefault="007B0F15" w:rsidP="007B0F15">
      <w:pPr>
        <w:spacing w:line="480" w:lineRule="auto"/>
        <w:rPr>
          <w:color w:val="000000" w:themeColor="text1"/>
          <w:sz w:val="24"/>
          <w:szCs w:val="28"/>
        </w:rPr>
      </w:pPr>
    </w:p>
    <w:p w14:paraId="78778650" w14:textId="77777777" w:rsidR="007B0F15" w:rsidRDefault="007B0F15" w:rsidP="007B0F15">
      <w:pPr>
        <w:spacing w:line="480" w:lineRule="auto"/>
        <w:rPr>
          <w:color w:val="000000" w:themeColor="text1"/>
          <w:sz w:val="24"/>
          <w:szCs w:val="28"/>
        </w:rPr>
      </w:pPr>
    </w:p>
    <w:p w14:paraId="1C68A174" w14:textId="77777777" w:rsidR="007B0F15" w:rsidRDefault="007B0F15" w:rsidP="007B0F15">
      <w:pPr>
        <w:spacing w:line="480" w:lineRule="auto"/>
        <w:rPr>
          <w:color w:val="000000" w:themeColor="text1"/>
          <w:sz w:val="24"/>
          <w:szCs w:val="28"/>
        </w:rPr>
      </w:pPr>
    </w:p>
    <w:p w14:paraId="75069250" w14:textId="77777777" w:rsidR="007B0F15" w:rsidRDefault="007B0F15" w:rsidP="007B0F15">
      <w:pPr>
        <w:spacing w:line="480" w:lineRule="auto"/>
        <w:rPr>
          <w:color w:val="000000" w:themeColor="text1"/>
          <w:sz w:val="24"/>
          <w:szCs w:val="28"/>
        </w:rPr>
      </w:pPr>
    </w:p>
    <w:p w14:paraId="18280997" w14:textId="77777777" w:rsidR="007B0F15" w:rsidRDefault="007B0F15" w:rsidP="007B0F15">
      <w:pPr>
        <w:spacing w:line="480" w:lineRule="auto"/>
        <w:rPr>
          <w:color w:val="000000" w:themeColor="text1"/>
          <w:sz w:val="24"/>
          <w:szCs w:val="28"/>
        </w:rPr>
      </w:pPr>
    </w:p>
    <w:p w14:paraId="5304A984" w14:textId="77777777" w:rsidR="007B0F15" w:rsidRDefault="007B0F15" w:rsidP="007B0F15">
      <w:pPr>
        <w:spacing w:line="480" w:lineRule="auto"/>
        <w:rPr>
          <w:color w:val="000000" w:themeColor="text1"/>
          <w:sz w:val="24"/>
          <w:szCs w:val="28"/>
        </w:rPr>
      </w:pPr>
    </w:p>
    <w:p w14:paraId="74E8079D" w14:textId="77777777" w:rsidR="007B0F15" w:rsidRDefault="007B0F15" w:rsidP="007B0F15">
      <w:pPr>
        <w:spacing w:line="480" w:lineRule="auto"/>
        <w:rPr>
          <w:color w:val="000000" w:themeColor="text1"/>
          <w:sz w:val="24"/>
          <w:szCs w:val="28"/>
        </w:rPr>
      </w:pPr>
    </w:p>
    <w:p w14:paraId="04790A00" w14:textId="77777777" w:rsidR="007B0F15" w:rsidRDefault="007B0F15" w:rsidP="007B0F15">
      <w:pPr>
        <w:spacing w:line="480" w:lineRule="auto"/>
        <w:rPr>
          <w:color w:val="000000" w:themeColor="text1"/>
          <w:sz w:val="24"/>
          <w:szCs w:val="28"/>
        </w:rPr>
      </w:pPr>
    </w:p>
    <w:p w14:paraId="32814E22" w14:textId="77777777" w:rsidR="007B0F15" w:rsidRDefault="007B0F15" w:rsidP="007B0F15">
      <w:pPr>
        <w:spacing w:line="480" w:lineRule="auto"/>
        <w:rPr>
          <w:color w:val="000000" w:themeColor="text1"/>
          <w:sz w:val="24"/>
          <w:szCs w:val="28"/>
        </w:rPr>
      </w:pPr>
    </w:p>
    <w:p w14:paraId="259F47AB" w14:textId="77777777" w:rsidR="007B0F15" w:rsidRDefault="007B0F15" w:rsidP="007B0F15">
      <w:pPr>
        <w:spacing w:line="480" w:lineRule="auto"/>
        <w:rPr>
          <w:color w:val="000000" w:themeColor="text1"/>
          <w:sz w:val="24"/>
          <w:szCs w:val="28"/>
        </w:rPr>
      </w:pPr>
    </w:p>
    <w:p w14:paraId="6A8D3260" w14:textId="77777777" w:rsidR="007B0F15" w:rsidRDefault="007B0F15" w:rsidP="007B0F15">
      <w:pPr>
        <w:spacing w:line="480" w:lineRule="auto"/>
        <w:rPr>
          <w:color w:val="000000" w:themeColor="text1"/>
          <w:sz w:val="24"/>
          <w:szCs w:val="28"/>
        </w:rPr>
      </w:pPr>
    </w:p>
    <w:p w14:paraId="45D2831D" w14:textId="77777777" w:rsidR="007B0F15" w:rsidRDefault="007B0F15" w:rsidP="007B0F15">
      <w:pPr>
        <w:spacing w:line="480" w:lineRule="auto"/>
        <w:rPr>
          <w:color w:val="000000" w:themeColor="text1"/>
          <w:sz w:val="24"/>
          <w:szCs w:val="28"/>
        </w:rPr>
      </w:pPr>
    </w:p>
    <w:p w14:paraId="37FCBB23" w14:textId="77777777" w:rsidR="007B0F15" w:rsidRDefault="007B0F15" w:rsidP="007B0F15">
      <w:pPr>
        <w:spacing w:line="480" w:lineRule="auto"/>
        <w:rPr>
          <w:color w:val="000000" w:themeColor="text1"/>
          <w:sz w:val="24"/>
          <w:szCs w:val="28"/>
        </w:rPr>
      </w:pPr>
    </w:p>
    <w:p w14:paraId="75A4121E" w14:textId="77777777" w:rsidR="007B0F15" w:rsidRPr="00301377" w:rsidRDefault="007B0F15" w:rsidP="007B0F15">
      <w:pPr>
        <w:widowControl/>
        <w:spacing w:before="100" w:beforeAutospacing="1" w:after="100" w:afterAutospacing="1" w:line="480" w:lineRule="auto"/>
        <w:rPr>
          <w:rFonts w:eastAsia="宋体"/>
          <w:color w:val="000000" w:themeColor="text1"/>
          <w:kern w:val="0"/>
          <w:sz w:val="24"/>
          <w:szCs w:val="24"/>
        </w:rPr>
      </w:pPr>
    </w:p>
    <w:p w14:paraId="3257F206" w14:textId="77777777" w:rsidR="007B0F15" w:rsidRPr="00505D92" w:rsidRDefault="007B0F15" w:rsidP="007B0F15">
      <w:pPr>
        <w:widowControl/>
        <w:shd w:val="clear" w:color="auto" w:fill="FFFFFF"/>
        <w:spacing w:before="240" w:after="0" w:line="480" w:lineRule="auto"/>
        <w:jc w:val="left"/>
        <w:rPr>
          <w:rFonts w:eastAsia="宋体"/>
          <w:b/>
          <w:bCs/>
          <w:color w:val="000000" w:themeColor="text1"/>
          <w:kern w:val="0"/>
          <w:sz w:val="24"/>
          <w:szCs w:val="24"/>
        </w:rPr>
      </w:pPr>
      <w:r w:rsidRPr="00301377">
        <w:rPr>
          <w:rFonts w:eastAsia="宋体"/>
          <w:b/>
          <w:bCs/>
          <w:color w:val="000000" w:themeColor="text1"/>
          <w:kern w:val="0"/>
          <w:sz w:val="24"/>
          <w:szCs w:val="24"/>
        </w:rPr>
        <w:t xml:space="preserve">Supplementary Figure </w:t>
      </w:r>
      <w:r>
        <w:rPr>
          <w:rFonts w:eastAsia="宋体" w:hint="eastAsia"/>
          <w:b/>
          <w:bCs/>
          <w:color w:val="000000" w:themeColor="text1"/>
          <w:kern w:val="0"/>
          <w:sz w:val="24"/>
          <w:szCs w:val="24"/>
        </w:rPr>
        <w:t>11</w:t>
      </w:r>
      <w:r w:rsidRPr="00301377">
        <w:rPr>
          <w:rFonts w:eastAsia="宋体"/>
          <w:b/>
          <w:bCs/>
          <w:color w:val="000000" w:themeColor="text1"/>
          <w:kern w:val="0"/>
          <w:sz w:val="24"/>
          <w:szCs w:val="24"/>
        </w:rPr>
        <w:t xml:space="preserve">. Selective modulation of cytokine-induced STAT signaling in CD4+ T cell subsets from </w:t>
      </w:r>
      <w:r>
        <w:rPr>
          <w:rFonts w:eastAsia="宋体"/>
          <w:b/>
          <w:bCs/>
          <w:color w:val="000000" w:themeColor="text1"/>
          <w:kern w:val="0"/>
          <w:sz w:val="24"/>
          <w:szCs w:val="24"/>
        </w:rPr>
        <w:t xml:space="preserve">AU </w:t>
      </w:r>
      <w:r w:rsidRPr="00301377">
        <w:rPr>
          <w:rFonts w:eastAsia="宋体"/>
          <w:b/>
          <w:bCs/>
          <w:color w:val="000000" w:themeColor="text1"/>
          <w:kern w:val="0"/>
          <w:sz w:val="24"/>
          <w:szCs w:val="24"/>
        </w:rPr>
        <w:t>patients</w:t>
      </w:r>
      <w:r w:rsidRPr="00505D92">
        <w:rPr>
          <w:rFonts w:eastAsia="宋体"/>
          <w:b/>
          <w:bCs/>
          <w:color w:val="000000" w:themeColor="text1"/>
          <w:kern w:val="0"/>
          <w:sz w:val="24"/>
          <w:szCs w:val="24"/>
        </w:rPr>
        <w:t>.</w:t>
      </w:r>
    </w:p>
    <w:p w14:paraId="72ECA406" w14:textId="77777777" w:rsidR="007B0F15" w:rsidRPr="00505D92" w:rsidRDefault="007B0F15" w:rsidP="007B0F15">
      <w:pPr>
        <w:widowControl/>
        <w:shd w:val="clear" w:color="auto" w:fill="FFFFFF"/>
        <w:spacing w:before="240" w:after="0" w:line="480" w:lineRule="auto"/>
        <w:rPr>
          <w:rFonts w:eastAsia="宋体"/>
          <w:color w:val="000000" w:themeColor="text1"/>
          <w:kern w:val="0"/>
          <w:sz w:val="24"/>
          <w:szCs w:val="24"/>
          <w:shd w:val="clear" w:color="auto" w:fill="FFFFFF"/>
        </w:rPr>
      </w:pPr>
      <w:r w:rsidRPr="00505D92">
        <w:rPr>
          <w:rFonts w:eastAsia="宋体"/>
          <w:b/>
          <w:bCs/>
          <w:color w:val="000000" w:themeColor="text1"/>
          <w:kern w:val="0"/>
          <w:sz w:val="24"/>
          <w:szCs w:val="24"/>
        </w:rPr>
        <w:t>(A</w:t>
      </w:r>
      <w:r>
        <w:rPr>
          <w:rFonts w:eastAsia="宋体"/>
          <w:b/>
          <w:bCs/>
          <w:color w:val="000000" w:themeColor="text1"/>
          <w:kern w:val="0"/>
          <w:sz w:val="24"/>
          <w:szCs w:val="24"/>
        </w:rPr>
        <w:t xml:space="preserve">, </w:t>
      </w:r>
      <w:r w:rsidRPr="00505D92">
        <w:rPr>
          <w:rFonts w:eastAsia="宋体"/>
          <w:b/>
          <w:bCs/>
          <w:color w:val="000000" w:themeColor="text1"/>
          <w:kern w:val="0"/>
          <w:sz w:val="24"/>
          <w:szCs w:val="24"/>
        </w:rPr>
        <w:t>B)</w:t>
      </w:r>
      <w:r w:rsidRPr="00505D92">
        <w:rPr>
          <w:rFonts w:eastAsia="宋体"/>
          <w:color w:val="000000" w:themeColor="text1"/>
          <w:kern w:val="0"/>
          <w:sz w:val="24"/>
          <w:szCs w:val="24"/>
        </w:rPr>
        <w:t xml:space="preserve"> Representative flow cytometry plots and summary </w:t>
      </w:r>
      <w:proofErr w:type="spellStart"/>
      <w:r w:rsidRPr="00505D92">
        <w:rPr>
          <w:rFonts w:eastAsia="宋体"/>
          <w:color w:val="000000" w:themeColor="text1"/>
          <w:kern w:val="0"/>
          <w:sz w:val="24"/>
          <w:szCs w:val="24"/>
        </w:rPr>
        <w:t>gMFI</w:t>
      </w:r>
      <w:proofErr w:type="spellEnd"/>
      <w:r w:rsidRPr="00505D92">
        <w:rPr>
          <w:rFonts w:eastAsia="宋体"/>
          <w:color w:val="000000" w:themeColor="text1"/>
          <w:kern w:val="0"/>
          <w:sz w:val="24"/>
          <w:szCs w:val="24"/>
        </w:rPr>
        <w:t xml:space="preserve"> data showing the induction of p-TYK2 (unstimulated vs. stimulated) and the subsequent inhibition of p-STAT1 and p-STAT2 (vehicle vs. TYK2i) following stimulation with IFN-α </w:t>
      </w:r>
      <w:r w:rsidRPr="00505D92">
        <w:rPr>
          <w:rFonts w:eastAsia="宋体"/>
          <w:b/>
          <w:bCs/>
          <w:color w:val="000000" w:themeColor="text1"/>
          <w:kern w:val="0"/>
          <w:sz w:val="24"/>
          <w:szCs w:val="24"/>
        </w:rPr>
        <w:t>(A)</w:t>
      </w:r>
      <w:r w:rsidRPr="00505D92">
        <w:rPr>
          <w:rFonts w:eastAsia="宋体"/>
          <w:color w:val="000000" w:themeColor="text1"/>
          <w:kern w:val="0"/>
          <w:sz w:val="24"/>
          <w:szCs w:val="24"/>
        </w:rPr>
        <w:t xml:space="preserve"> or IFN-β </w:t>
      </w:r>
      <w:r w:rsidRPr="00505D92">
        <w:rPr>
          <w:rFonts w:eastAsia="宋体"/>
          <w:b/>
          <w:bCs/>
          <w:color w:val="000000" w:themeColor="text1"/>
          <w:kern w:val="0"/>
          <w:sz w:val="24"/>
          <w:szCs w:val="24"/>
        </w:rPr>
        <w:t>(B)</w:t>
      </w:r>
      <w:r w:rsidRPr="00505D92">
        <w:rPr>
          <w:rFonts w:eastAsia="宋体"/>
          <w:color w:val="000000" w:themeColor="text1"/>
          <w:kern w:val="0"/>
          <w:sz w:val="24"/>
          <w:szCs w:val="24"/>
        </w:rPr>
        <w:t xml:space="preserve"> in Th1 and Th17 subsets within PBMC cultures from uveitis patients. </w:t>
      </w:r>
      <w:r w:rsidRPr="00505D92">
        <w:rPr>
          <w:rFonts w:eastAsia="宋体"/>
          <w:b/>
          <w:bCs/>
          <w:color w:val="000000" w:themeColor="text1"/>
          <w:kern w:val="0"/>
          <w:sz w:val="24"/>
          <w:szCs w:val="24"/>
        </w:rPr>
        <w:t>(C)</w:t>
      </w:r>
      <w:r>
        <w:rPr>
          <w:rFonts w:eastAsia="宋体"/>
          <w:b/>
          <w:bCs/>
          <w:color w:val="000000" w:themeColor="text1"/>
          <w:kern w:val="0"/>
          <w:sz w:val="24"/>
          <w:szCs w:val="24"/>
        </w:rPr>
        <w:t xml:space="preserve"> </w:t>
      </w:r>
      <w:r>
        <w:rPr>
          <w:rFonts w:eastAsia="宋体"/>
          <w:color w:val="000000" w:themeColor="text1"/>
          <w:kern w:val="0"/>
          <w:sz w:val="24"/>
          <w:szCs w:val="24"/>
        </w:rPr>
        <w:t>L</w:t>
      </w:r>
      <w:r w:rsidRPr="00C525EB">
        <w:rPr>
          <w:rFonts w:eastAsia="宋体"/>
          <w:color w:val="000000" w:themeColor="text1"/>
          <w:kern w:val="0"/>
          <w:sz w:val="24"/>
          <w:szCs w:val="24"/>
        </w:rPr>
        <w:t>evels</w:t>
      </w:r>
      <w:r w:rsidRPr="00C525EB" w:rsidDel="00C525EB">
        <w:rPr>
          <w:rFonts w:eastAsia="宋体"/>
          <w:color w:val="000000" w:themeColor="text1"/>
          <w:kern w:val="0"/>
          <w:sz w:val="24"/>
          <w:szCs w:val="24"/>
        </w:rPr>
        <w:t xml:space="preserve"> </w:t>
      </w:r>
      <w:r w:rsidRPr="00505D92">
        <w:rPr>
          <w:rFonts w:eastAsia="宋体"/>
          <w:color w:val="000000" w:themeColor="text1"/>
          <w:kern w:val="0"/>
          <w:sz w:val="24"/>
          <w:szCs w:val="24"/>
        </w:rPr>
        <w:t xml:space="preserve">of p-TYK2 induction and p-STAT3 </w:t>
      </w:r>
      <w:r w:rsidRPr="00505D92">
        <w:rPr>
          <w:rFonts w:eastAsia="宋体"/>
          <w:color w:val="000000" w:themeColor="text1"/>
          <w:kern w:val="0"/>
          <w:sz w:val="24"/>
          <w:szCs w:val="24"/>
        </w:rPr>
        <w:lastRenderedPageBreak/>
        <w:t xml:space="preserve">inhibition in patient-derived Th1 and Th17 subsets following IL-23 stimulation. </w:t>
      </w:r>
      <w:r w:rsidRPr="00505D92">
        <w:rPr>
          <w:rFonts w:eastAsia="宋体"/>
          <w:b/>
          <w:bCs/>
          <w:color w:val="000000" w:themeColor="text1"/>
          <w:kern w:val="0"/>
          <w:sz w:val="24"/>
          <w:szCs w:val="24"/>
        </w:rPr>
        <w:t>(D)</w:t>
      </w:r>
      <w:r w:rsidRPr="00505D92">
        <w:rPr>
          <w:rFonts w:eastAsia="宋体"/>
          <w:color w:val="000000" w:themeColor="text1"/>
          <w:kern w:val="0"/>
          <w:sz w:val="24"/>
          <w:szCs w:val="24"/>
        </w:rPr>
        <w:t xml:space="preserve"> </w:t>
      </w:r>
      <w:r>
        <w:rPr>
          <w:rFonts w:eastAsia="宋体"/>
          <w:color w:val="000000" w:themeColor="text1"/>
          <w:kern w:val="0"/>
          <w:sz w:val="24"/>
          <w:szCs w:val="24"/>
        </w:rPr>
        <w:t>L</w:t>
      </w:r>
      <w:r w:rsidRPr="00C525EB">
        <w:rPr>
          <w:rFonts w:eastAsia="宋体"/>
          <w:color w:val="000000" w:themeColor="text1"/>
          <w:kern w:val="0"/>
          <w:sz w:val="24"/>
          <w:szCs w:val="24"/>
        </w:rPr>
        <w:t>evels</w:t>
      </w:r>
      <w:r w:rsidRPr="00C525EB" w:rsidDel="00C525EB">
        <w:rPr>
          <w:rFonts w:eastAsia="宋体"/>
          <w:color w:val="000000" w:themeColor="text1"/>
          <w:kern w:val="0"/>
          <w:sz w:val="24"/>
          <w:szCs w:val="24"/>
        </w:rPr>
        <w:t xml:space="preserve"> </w:t>
      </w:r>
      <w:r w:rsidRPr="00505D92">
        <w:rPr>
          <w:rFonts w:eastAsia="宋体"/>
          <w:color w:val="000000" w:themeColor="text1"/>
          <w:kern w:val="0"/>
          <w:sz w:val="24"/>
          <w:szCs w:val="24"/>
        </w:rPr>
        <w:t xml:space="preserve">of p-TYK2 induction and p-STAT4 inhibition in patient-derived Th1 and Th17 subsets following IL-12 stimulation. </w:t>
      </w:r>
      <w:r w:rsidRPr="00505D92">
        <w:rPr>
          <w:rFonts w:eastAsia="宋体"/>
          <w:b/>
          <w:bCs/>
          <w:color w:val="000000" w:themeColor="text1"/>
          <w:kern w:val="0"/>
          <w:sz w:val="24"/>
          <w:szCs w:val="24"/>
        </w:rPr>
        <w:t>(E)</w:t>
      </w:r>
      <w:r>
        <w:rPr>
          <w:rFonts w:eastAsia="宋体"/>
          <w:color w:val="000000" w:themeColor="text1"/>
          <w:kern w:val="0"/>
          <w:sz w:val="24"/>
          <w:szCs w:val="24"/>
        </w:rPr>
        <w:t xml:space="preserve"> L</w:t>
      </w:r>
      <w:r w:rsidRPr="00C525EB">
        <w:rPr>
          <w:rFonts w:eastAsia="宋体"/>
          <w:color w:val="000000" w:themeColor="text1"/>
          <w:kern w:val="0"/>
          <w:sz w:val="24"/>
          <w:szCs w:val="24"/>
        </w:rPr>
        <w:t>evels</w:t>
      </w:r>
      <w:r w:rsidRPr="009740A5">
        <w:rPr>
          <w:rFonts w:eastAsia="宋体"/>
          <w:color w:val="000000" w:themeColor="text1"/>
          <w:kern w:val="0"/>
          <w:sz w:val="24"/>
          <w:szCs w:val="24"/>
        </w:rPr>
        <w:t xml:space="preserve"> of p-TYK2 induction and p-STAT5 inhibition in patient-derived Foxp3+ Tregs following IL-2 stimulation</w:t>
      </w:r>
      <w:r>
        <w:rPr>
          <w:rFonts w:eastAsia="宋体"/>
          <w:color w:val="000000" w:themeColor="text1"/>
          <w:kern w:val="0"/>
          <w:sz w:val="24"/>
          <w:szCs w:val="24"/>
        </w:rPr>
        <w:t>.</w:t>
      </w:r>
      <w:r w:rsidRPr="00505D92">
        <w:rPr>
          <w:rFonts w:eastAsia="宋体"/>
          <w:color w:val="000000" w:themeColor="text1"/>
          <w:kern w:val="0"/>
          <w:sz w:val="24"/>
          <w:szCs w:val="24"/>
        </w:rPr>
        <w:t xml:space="preserve"> </w:t>
      </w:r>
      <w:r w:rsidRPr="00EE1501">
        <w:rPr>
          <w:rFonts w:eastAsia="宋体"/>
          <w:color w:val="000000" w:themeColor="text1"/>
          <w:kern w:val="0"/>
          <w:sz w:val="24"/>
          <w:szCs w:val="24"/>
        </w:rPr>
        <w:t>Cell populations are distinguished by color:</w:t>
      </w:r>
      <w:r>
        <w:rPr>
          <w:rFonts w:eastAsia="宋体"/>
          <w:color w:val="000000" w:themeColor="text1"/>
          <w:kern w:val="0"/>
          <w:sz w:val="24"/>
          <w:szCs w:val="24"/>
        </w:rPr>
        <w:t xml:space="preserve"> </w:t>
      </w:r>
      <w:r w:rsidRPr="00EE1501">
        <w:rPr>
          <w:rFonts w:eastAsia="宋体"/>
          <w:color w:val="000000" w:themeColor="text1"/>
          <w:kern w:val="0"/>
          <w:sz w:val="24"/>
          <w:szCs w:val="24"/>
        </w:rPr>
        <w:t>Th1 subsets (red), Th17 subsets (blue), and Foxp3</w:t>
      </w:r>
      <w:r>
        <w:rPr>
          <w:rFonts w:eastAsia="宋体"/>
          <w:color w:val="000000" w:themeColor="text1"/>
          <w:kern w:val="0"/>
          <w:sz w:val="24"/>
          <w:szCs w:val="24"/>
        </w:rPr>
        <w:t>+</w:t>
      </w:r>
      <w:r w:rsidRPr="00EE1501">
        <w:rPr>
          <w:rFonts w:eastAsia="宋体"/>
          <w:color w:val="000000" w:themeColor="text1"/>
          <w:kern w:val="0"/>
          <w:sz w:val="24"/>
          <w:szCs w:val="24"/>
        </w:rPr>
        <w:t xml:space="preserve"> Tregs (red).</w:t>
      </w:r>
      <w:r>
        <w:rPr>
          <w:rFonts w:eastAsia="宋体"/>
          <w:color w:val="000000" w:themeColor="text1"/>
          <w:kern w:val="0"/>
          <w:sz w:val="24"/>
          <w:szCs w:val="24"/>
        </w:rPr>
        <w:t xml:space="preserve"> </w:t>
      </w:r>
      <w:r w:rsidRPr="00505D92">
        <w:rPr>
          <w:rFonts w:eastAsia="宋体"/>
          <w:color w:val="000000" w:themeColor="text1"/>
          <w:kern w:val="0"/>
          <w:sz w:val="24"/>
          <w:szCs w:val="24"/>
        </w:rPr>
        <w:t>Data are mean ± SEM (n = 5). Statistical significance was determined by unpaired two-tailed Student’s t-test (**p &lt; 0.01, and ***p &lt; 0.001, ****p &lt; 0.0001, ns, not significant).</w:t>
      </w:r>
    </w:p>
    <w:p w14:paraId="7B5D5DD5" w14:textId="77777777" w:rsidR="00E77B4E" w:rsidRDefault="00E77B4E" w:rsidP="00E77B4E">
      <w:pPr>
        <w:spacing w:line="480" w:lineRule="auto"/>
        <w:rPr>
          <w:color w:val="000000" w:themeColor="text1"/>
          <w:sz w:val="24"/>
          <w:szCs w:val="24"/>
        </w:rPr>
      </w:pPr>
    </w:p>
    <w:p w14:paraId="47E5A4B2" w14:textId="77777777" w:rsidR="00E77B4E" w:rsidRDefault="00E77B4E" w:rsidP="00E77B4E">
      <w:pPr>
        <w:spacing w:line="480" w:lineRule="auto"/>
        <w:rPr>
          <w:color w:val="000000" w:themeColor="text1"/>
          <w:sz w:val="24"/>
          <w:szCs w:val="24"/>
        </w:rPr>
      </w:pPr>
    </w:p>
    <w:p w14:paraId="4FEC254B" w14:textId="77777777" w:rsidR="00E77B4E" w:rsidRPr="00D66AEC" w:rsidRDefault="00E77B4E" w:rsidP="00E77B4E">
      <w:pPr>
        <w:spacing w:line="480" w:lineRule="auto"/>
        <w:rPr>
          <w:color w:val="000000" w:themeColor="text1"/>
          <w:sz w:val="24"/>
          <w:szCs w:val="24"/>
        </w:rPr>
      </w:pPr>
    </w:p>
    <w:p w14:paraId="315F85EA" w14:textId="77777777" w:rsidR="00E77B4E" w:rsidRDefault="00E77B4E" w:rsidP="00E77B4E">
      <w:pPr>
        <w:spacing w:line="480" w:lineRule="auto"/>
        <w:rPr>
          <w:color w:val="000000" w:themeColor="text1"/>
          <w:sz w:val="24"/>
          <w:szCs w:val="24"/>
        </w:rPr>
      </w:pPr>
    </w:p>
    <w:p w14:paraId="38A1296A" w14:textId="77777777" w:rsidR="00E77B4E" w:rsidRDefault="00E77B4E" w:rsidP="00E77B4E">
      <w:pPr>
        <w:spacing w:line="480" w:lineRule="auto"/>
        <w:rPr>
          <w:color w:val="000000" w:themeColor="text1"/>
          <w:sz w:val="24"/>
          <w:szCs w:val="24"/>
        </w:rPr>
      </w:pPr>
    </w:p>
    <w:p w14:paraId="19BEA552" w14:textId="77777777" w:rsidR="00E77B4E" w:rsidRDefault="00E77B4E" w:rsidP="00E77B4E">
      <w:pPr>
        <w:spacing w:line="480" w:lineRule="auto"/>
        <w:rPr>
          <w:color w:val="000000" w:themeColor="text1"/>
          <w:sz w:val="24"/>
          <w:szCs w:val="24"/>
        </w:rPr>
      </w:pPr>
    </w:p>
    <w:p w14:paraId="41D8FE26"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3C9ADCF5"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1C1B8516"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66CD6DEA" w14:textId="77777777" w:rsidR="007B0F15" w:rsidRDefault="007B0F15" w:rsidP="007B0F15">
      <w:pPr>
        <w:spacing w:line="480" w:lineRule="auto"/>
        <w:rPr>
          <w:color w:val="000000" w:themeColor="text1"/>
          <w:sz w:val="24"/>
          <w:szCs w:val="28"/>
        </w:rPr>
      </w:pPr>
    </w:p>
    <w:p w14:paraId="71FE8A70" w14:textId="77777777" w:rsidR="007B0F15" w:rsidRDefault="007B0F15" w:rsidP="007B0F15">
      <w:pPr>
        <w:spacing w:line="480" w:lineRule="auto"/>
        <w:rPr>
          <w:color w:val="000000" w:themeColor="text1"/>
          <w:sz w:val="24"/>
          <w:szCs w:val="28"/>
        </w:rPr>
      </w:pPr>
    </w:p>
    <w:p w14:paraId="4D11E21F" w14:textId="77777777" w:rsidR="007B0F15" w:rsidRDefault="007B0F15" w:rsidP="007B0F15">
      <w:pPr>
        <w:spacing w:line="480" w:lineRule="auto"/>
        <w:rPr>
          <w:color w:val="000000" w:themeColor="text1"/>
          <w:sz w:val="24"/>
          <w:szCs w:val="28"/>
        </w:rPr>
      </w:pPr>
    </w:p>
    <w:p w14:paraId="421CADC8" w14:textId="77777777" w:rsidR="007B0F15" w:rsidRDefault="007B0F15" w:rsidP="007B0F15">
      <w:pPr>
        <w:spacing w:line="480" w:lineRule="auto"/>
        <w:rPr>
          <w:color w:val="000000" w:themeColor="text1"/>
          <w:sz w:val="24"/>
          <w:szCs w:val="28"/>
        </w:rPr>
      </w:pPr>
    </w:p>
    <w:p w14:paraId="6143A86C" w14:textId="77777777" w:rsidR="007B0F15" w:rsidRDefault="007B0F15" w:rsidP="007B0F15">
      <w:pPr>
        <w:spacing w:line="480" w:lineRule="auto"/>
        <w:rPr>
          <w:color w:val="000000" w:themeColor="text1"/>
          <w:sz w:val="24"/>
          <w:szCs w:val="28"/>
        </w:rPr>
      </w:pPr>
      <w:r>
        <w:rPr>
          <w:noProof/>
          <w:lang w:eastAsia="en-US"/>
        </w:rPr>
        <w:lastRenderedPageBreak/>
        <w:drawing>
          <wp:anchor distT="0" distB="0" distL="114300" distR="114300" simplePos="0" relativeHeight="251681792" behindDoc="1" locked="0" layoutInCell="1" allowOverlap="1" wp14:anchorId="02C8BDE1" wp14:editId="6A291E54">
            <wp:simplePos x="0" y="0"/>
            <wp:positionH relativeFrom="column">
              <wp:posOffset>0</wp:posOffset>
            </wp:positionH>
            <wp:positionV relativeFrom="paragraph">
              <wp:posOffset>-2935885</wp:posOffset>
            </wp:positionV>
            <wp:extent cx="5731510" cy="7428230"/>
            <wp:effectExtent l="0" t="0" r="2540" b="1270"/>
            <wp:wrapNone/>
            <wp:docPr id="17882372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7428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11E1C" w14:textId="77777777" w:rsidR="007B0F15" w:rsidRDefault="007B0F15" w:rsidP="007B0F15">
      <w:pPr>
        <w:spacing w:line="480" w:lineRule="auto"/>
        <w:rPr>
          <w:color w:val="000000" w:themeColor="text1"/>
          <w:sz w:val="24"/>
          <w:szCs w:val="28"/>
        </w:rPr>
      </w:pPr>
    </w:p>
    <w:p w14:paraId="6F0D0112" w14:textId="77777777" w:rsidR="007B0F15" w:rsidRDefault="007B0F15" w:rsidP="007B0F15">
      <w:pPr>
        <w:spacing w:line="480" w:lineRule="auto"/>
        <w:rPr>
          <w:color w:val="000000" w:themeColor="text1"/>
          <w:sz w:val="24"/>
          <w:szCs w:val="28"/>
        </w:rPr>
      </w:pPr>
    </w:p>
    <w:p w14:paraId="60EEF4C4" w14:textId="77777777" w:rsidR="007B0F15" w:rsidRDefault="007B0F15" w:rsidP="007B0F15">
      <w:pPr>
        <w:spacing w:line="480" w:lineRule="auto"/>
        <w:rPr>
          <w:color w:val="000000" w:themeColor="text1"/>
          <w:sz w:val="24"/>
          <w:szCs w:val="28"/>
        </w:rPr>
      </w:pPr>
    </w:p>
    <w:p w14:paraId="4A30EC54" w14:textId="77777777" w:rsidR="007B0F15" w:rsidRDefault="007B0F15" w:rsidP="007B0F15">
      <w:pPr>
        <w:spacing w:line="480" w:lineRule="auto"/>
        <w:rPr>
          <w:color w:val="000000" w:themeColor="text1"/>
          <w:sz w:val="24"/>
          <w:szCs w:val="28"/>
        </w:rPr>
      </w:pPr>
    </w:p>
    <w:p w14:paraId="51E72649" w14:textId="77777777" w:rsidR="007B0F15" w:rsidRDefault="007B0F15" w:rsidP="007B0F15">
      <w:pPr>
        <w:spacing w:line="480" w:lineRule="auto"/>
        <w:rPr>
          <w:color w:val="000000" w:themeColor="text1"/>
          <w:sz w:val="24"/>
          <w:szCs w:val="28"/>
        </w:rPr>
      </w:pPr>
    </w:p>
    <w:p w14:paraId="2BB49B35" w14:textId="77777777" w:rsidR="007B0F15" w:rsidRDefault="007B0F15" w:rsidP="007B0F15">
      <w:pPr>
        <w:spacing w:line="480" w:lineRule="auto"/>
        <w:rPr>
          <w:color w:val="000000" w:themeColor="text1"/>
          <w:sz w:val="24"/>
          <w:szCs w:val="28"/>
        </w:rPr>
      </w:pPr>
    </w:p>
    <w:p w14:paraId="4AB30E2E" w14:textId="77777777" w:rsidR="007B0F15" w:rsidRDefault="007B0F15" w:rsidP="007B0F15">
      <w:pPr>
        <w:spacing w:line="480" w:lineRule="auto"/>
        <w:rPr>
          <w:color w:val="000000" w:themeColor="text1"/>
          <w:sz w:val="24"/>
          <w:szCs w:val="28"/>
        </w:rPr>
      </w:pPr>
    </w:p>
    <w:p w14:paraId="5233D0F4" w14:textId="77777777" w:rsidR="007B0F15" w:rsidRDefault="007B0F15" w:rsidP="007B0F15">
      <w:pPr>
        <w:spacing w:line="480" w:lineRule="auto"/>
        <w:rPr>
          <w:color w:val="000000" w:themeColor="text1"/>
          <w:sz w:val="24"/>
          <w:szCs w:val="28"/>
        </w:rPr>
      </w:pPr>
    </w:p>
    <w:p w14:paraId="28E3FD1B" w14:textId="77777777" w:rsidR="007B0F15" w:rsidRDefault="007B0F15" w:rsidP="007B0F15">
      <w:pPr>
        <w:spacing w:line="480" w:lineRule="auto"/>
        <w:rPr>
          <w:b/>
          <w:bCs/>
          <w:color w:val="000000" w:themeColor="text1"/>
          <w:sz w:val="24"/>
          <w:szCs w:val="28"/>
        </w:rPr>
      </w:pPr>
    </w:p>
    <w:p w14:paraId="4D71ADD4" w14:textId="77777777" w:rsidR="007B0F15" w:rsidRDefault="007B0F15" w:rsidP="007B0F15">
      <w:pPr>
        <w:spacing w:line="480" w:lineRule="auto"/>
        <w:rPr>
          <w:b/>
          <w:bCs/>
          <w:color w:val="000000" w:themeColor="text1"/>
          <w:sz w:val="24"/>
          <w:szCs w:val="28"/>
        </w:rPr>
      </w:pPr>
    </w:p>
    <w:p w14:paraId="1D2680A0" w14:textId="77777777" w:rsidR="007B0F15" w:rsidRPr="00936F5F" w:rsidRDefault="007B0F15" w:rsidP="007B0F15">
      <w:pPr>
        <w:spacing w:line="480" w:lineRule="auto"/>
        <w:rPr>
          <w:b/>
          <w:bCs/>
          <w:color w:val="000000" w:themeColor="text1"/>
          <w:sz w:val="24"/>
          <w:szCs w:val="28"/>
        </w:rPr>
      </w:pPr>
      <w:r w:rsidRPr="00936F5F">
        <w:rPr>
          <w:b/>
          <w:bCs/>
          <w:color w:val="000000" w:themeColor="text1"/>
          <w:sz w:val="24"/>
          <w:szCs w:val="28"/>
        </w:rPr>
        <w:t xml:space="preserve">Supplementary Figure </w:t>
      </w:r>
      <w:r>
        <w:rPr>
          <w:rFonts w:hint="eastAsia"/>
          <w:b/>
          <w:bCs/>
          <w:color w:val="000000" w:themeColor="text1"/>
          <w:sz w:val="24"/>
          <w:szCs w:val="28"/>
        </w:rPr>
        <w:t>12</w:t>
      </w:r>
      <w:r w:rsidRPr="00936F5F">
        <w:rPr>
          <w:b/>
          <w:bCs/>
          <w:color w:val="000000" w:themeColor="text1"/>
          <w:sz w:val="24"/>
          <w:szCs w:val="28"/>
        </w:rPr>
        <w:t>.</w:t>
      </w:r>
      <w:r w:rsidRPr="00936F5F">
        <w:rPr>
          <w:rFonts w:hint="eastAsia"/>
          <w:b/>
          <w:bCs/>
          <w:color w:val="000000" w:themeColor="text1"/>
          <w:sz w:val="24"/>
          <w:szCs w:val="28"/>
        </w:rPr>
        <w:t xml:space="preserve"> </w:t>
      </w:r>
      <w:r w:rsidRPr="00936F5F">
        <w:rPr>
          <w:b/>
          <w:bCs/>
          <w:color w:val="000000" w:themeColor="text1"/>
          <w:sz w:val="24"/>
          <w:szCs w:val="28"/>
        </w:rPr>
        <w:t>Flow cytometric gating strategy for TYK2 and STAT signaling molecules.</w:t>
      </w:r>
    </w:p>
    <w:p w14:paraId="69212F19" w14:textId="77777777" w:rsidR="007B0F15" w:rsidRDefault="007B0F15" w:rsidP="007B0F15">
      <w:pPr>
        <w:spacing w:line="480" w:lineRule="auto"/>
        <w:rPr>
          <w:color w:val="000000" w:themeColor="text1"/>
          <w:sz w:val="24"/>
          <w:szCs w:val="28"/>
        </w:rPr>
      </w:pPr>
      <w:bookmarkStart w:id="0" w:name="OLE_LINK27"/>
      <w:r w:rsidRPr="00114E0A">
        <w:rPr>
          <w:rFonts w:hint="eastAsia"/>
          <w:b/>
          <w:bCs/>
          <w:color w:val="000000" w:themeColor="text1"/>
          <w:sz w:val="24"/>
          <w:szCs w:val="28"/>
        </w:rPr>
        <w:t>(A)</w:t>
      </w:r>
      <w:r>
        <w:rPr>
          <w:rFonts w:hint="eastAsia"/>
          <w:color w:val="000000" w:themeColor="text1"/>
          <w:sz w:val="24"/>
          <w:szCs w:val="28"/>
        </w:rPr>
        <w:t xml:space="preserve"> </w:t>
      </w:r>
      <w:r w:rsidRPr="00114E0A">
        <w:rPr>
          <w:color w:val="000000" w:themeColor="text1"/>
          <w:sz w:val="24"/>
          <w:szCs w:val="28"/>
        </w:rPr>
        <w:t xml:space="preserve">Gating logic for total CD4+ T cells. </w:t>
      </w:r>
      <w:r w:rsidRPr="00054726">
        <w:rPr>
          <w:color w:val="000000" w:themeColor="text1"/>
          <w:sz w:val="24"/>
          <w:szCs w:val="28"/>
        </w:rPr>
        <w:t>Following the identification of the CD4</w:t>
      </w:r>
      <w:r>
        <w:rPr>
          <w:rFonts w:hint="eastAsia"/>
          <w:color w:val="000000" w:themeColor="text1"/>
          <w:sz w:val="24"/>
          <w:szCs w:val="28"/>
        </w:rPr>
        <w:t>+</w:t>
      </w:r>
      <w:r w:rsidRPr="00054726">
        <w:rPr>
          <w:color w:val="000000" w:themeColor="text1"/>
          <w:sz w:val="24"/>
          <w:szCs w:val="28"/>
        </w:rPr>
        <w:t xml:space="preserve"> T cell population, the expression levels of TYK2, p-TYK2, and p-STAT1–5</w:t>
      </w:r>
      <w:r>
        <w:rPr>
          <w:rFonts w:hint="eastAsia"/>
          <w:color w:val="000000" w:themeColor="text1"/>
          <w:sz w:val="24"/>
          <w:szCs w:val="28"/>
        </w:rPr>
        <w:t xml:space="preserve"> </w:t>
      </w:r>
      <w:r w:rsidRPr="00054726">
        <w:rPr>
          <w:color w:val="000000" w:themeColor="text1"/>
          <w:sz w:val="24"/>
          <w:szCs w:val="28"/>
        </w:rPr>
        <w:t>were quantified within this</w:t>
      </w:r>
      <w:r w:rsidRPr="0072734B">
        <w:rPr>
          <w:color w:val="000000" w:themeColor="text1"/>
          <w:sz w:val="24"/>
          <w:szCs w:val="28"/>
        </w:rPr>
        <w:t xml:space="preserve"> gate. </w:t>
      </w:r>
      <w:r w:rsidRPr="0072734B">
        <w:rPr>
          <w:b/>
          <w:bCs/>
          <w:color w:val="000000" w:themeColor="text1"/>
          <w:sz w:val="24"/>
          <w:szCs w:val="28"/>
        </w:rPr>
        <w:t xml:space="preserve">(B) </w:t>
      </w:r>
      <w:r w:rsidRPr="0072734B">
        <w:rPr>
          <w:color w:val="000000" w:themeColor="text1"/>
          <w:sz w:val="24"/>
          <w:szCs w:val="28"/>
        </w:rPr>
        <w:t>Gating logic for CD4+ T cell subsets.</w:t>
      </w:r>
      <w:r w:rsidRPr="0072734B">
        <w:rPr>
          <w:b/>
          <w:bCs/>
          <w:color w:val="000000" w:themeColor="text1"/>
          <w:sz w:val="24"/>
          <w:szCs w:val="28"/>
        </w:rPr>
        <w:t xml:space="preserve"> </w:t>
      </w:r>
      <w:r w:rsidRPr="0072734B">
        <w:rPr>
          <w:color w:val="000000" w:themeColor="text1"/>
          <w:sz w:val="24"/>
          <w:szCs w:val="28"/>
        </w:rPr>
        <w:t>Within the total CD4+ T cells gate, specific functional subsets were identified</w:t>
      </w:r>
      <w:r w:rsidRPr="00EC37CB">
        <w:rPr>
          <w:color w:val="000000" w:themeColor="text1"/>
          <w:sz w:val="24"/>
          <w:szCs w:val="28"/>
        </w:rPr>
        <w:t>,</w:t>
      </w:r>
      <w:r w:rsidRPr="0072734B">
        <w:rPr>
          <w:color w:val="000000" w:themeColor="text1"/>
          <w:sz w:val="24"/>
          <w:szCs w:val="28"/>
        </w:rPr>
        <w:t xml:space="preserve"> </w:t>
      </w:r>
      <w:r w:rsidRPr="00EC37CB">
        <w:rPr>
          <w:color w:val="000000" w:themeColor="text1"/>
          <w:sz w:val="24"/>
          <w:szCs w:val="28"/>
        </w:rPr>
        <w:t>including naive T cells (defined as CD44−CD62L+ in mice and CD45RA+CCR7+ in humans), Th1 (T-bet+), Th17 (</w:t>
      </w:r>
      <w:proofErr w:type="spellStart"/>
      <w:r w:rsidRPr="00EC37CB">
        <w:rPr>
          <w:color w:val="000000" w:themeColor="text1"/>
          <w:sz w:val="24"/>
          <w:szCs w:val="28"/>
        </w:rPr>
        <w:t>RORγt</w:t>
      </w:r>
      <w:proofErr w:type="spellEnd"/>
      <w:r w:rsidRPr="00EC37CB">
        <w:rPr>
          <w:color w:val="000000" w:themeColor="text1"/>
          <w:sz w:val="24"/>
          <w:szCs w:val="28"/>
        </w:rPr>
        <w:t xml:space="preserve">+), and Treg (Foxp3+) cells. </w:t>
      </w:r>
      <w:r w:rsidRPr="0072734B">
        <w:rPr>
          <w:color w:val="000000" w:themeColor="text1"/>
          <w:sz w:val="24"/>
          <w:szCs w:val="28"/>
        </w:rPr>
        <w:t>The activation profiles of TYK2</w:t>
      </w:r>
      <w:r w:rsidRPr="0072734B">
        <w:rPr>
          <w:rFonts w:hint="eastAsia"/>
          <w:color w:val="000000" w:themeColor="text1"/>
          <w:sz w:val="24"/>
          <w:szCs w:val="28"/>
        </w:rPr>
        <w:t>, p-TYK2,</w:t>
      </w:r>
      <w:r w:rsidRPr="0072734B">
        <w:rPr>
          <w:color w:val="000000" w:themeColor="text1"/>
          <w:sz w:val="24"/>
          <w:szCs w:val="28"/>
        </w:rPr>
        <w:t xml:space="preserve"> an</w:t>
      </w:r>
      <w:r w:rsidRPr="0072734B">
        <w:rPr>
          <w:rFonts w:hint="eastAsia"/>
          <w:color w:val="000000" w:themeColor="text1"/>
          <w:sz w:val="24"/>
          <w:szCs w:val="28"/>
        </w:rPr>
        <w:t xml:space="preserve">d </w:t>
      </w:r>
      <w:r w:rsidRPr="0072734B">
        <w:rPr>
          <w:color w:val="000000" w:themeColor="text1"/>
          <w:sz w:val="24"/>
          <w:szCs w:val="28"/>
        </w:rPr>
        <w:t xml:space="preserve">p-STAT1–5 were subsequently determined </w:t>
      </w:r>
      <w:r w:rsidRPr="00936F5F">
        <w:rPr>
          <w:color w:val="000000" w:themeColor="text1"/>
          <w:sz w:val="24"/>
          <w:szCs w:val="28"/>
        </w:rPr>
        <w:t>within each respective subset to evaluate lineage-specific signaling responses</w:t>
      </w:r>
      <w:r>
        <w:rPr>
          <w:rFonts w:hint="eastAsia"/>
          <w:color w:val="000000" w:themeColor="text1"/>
          <w:sz w:val="24"/>
          <w:szCs w:val="28"/>
        </w:rPr>
        <w:t>.</w:t>
      </w:r>
    </w:p>
    <w:bookmarkEnd w:id="0"/>
    <w:p w14:paraId="3918BC08"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04F2529B" w14:textId="77777777" w:rsidR="007B0F15" w:rsidRDefault="007B0F15" w:rsidP="007B0F15">
      <w:pPr>
        <w:spacing w:line="480" w:lineRule="auto"/>
        <w:rPr>
          <w:color w:val="000000" w:themeColor="text1"/>
          <w:sz w:val="24"/>
          <w:szCs w:val="28"/>
        </w:rPr>
      </w:pPr>
    </w:p>
    <w:p w14:paraId="5F57B3A9" w14:textId="77777777" w:rsidR="007B0F15" w:rsidRDefault="007B0F15" w:rsidP="007B0F15">
      <w:pPr>
        <w:spacing w:line="480" w:lineRule="auto"/>
        <w:rPr>
          <w:color w:val="000000" w:themeColor="text1"/>
          <w:sz w:val="24"/>
          <w:szCs w:val="28"/>
        </w:rPr>
      </w:pPr>
    </w:p>
    <w:p w14:paraId="429452CE" w14:textId="77777777" w:rsidR="007B0F15" w:rsidRDefault="007B0F15" w:rsidP="007B0F15">
      <w:pPr>
        <w:spacing w:line="480" w:lineRule="auto"/>
        <w:rPr>
          <w:color w:val="000000" w:themeColor="text1"/>
          <w:sz w:val="24"/>
          <w:szCs w:val="28"/>
        </w:rPr>
      </w:pPr>
    </w:p>
    <w:p w14:paraId="4F397EB4" w14:textId="77777777" w:rsidR="007B0F15" w:rsidRDefault="007B0F15" w:rsidP="007B0F15">
      <w:pPr>
        <w:spacing w:line="480" w:lineRule="auto"/>
        <w:rPr>
          <w:color w:val="000000" w:themeColor="text1"/>
          <w:sz w:val="24"/>
          <w:szCs w:val="28"/>
        </w:rPr>
      </w:pPr>
    </w:p>
    <w:p w14:paraId="6BBE9F5F" w14:textId="77777777" w:rsidR="007B0F15" w:rsidRDefault="007B0F15" w:rsidP="007B0F15">
      <w:pPr>
        <w:spacing w:line="480" w:lineRule="auto"/>
        <w:rPr>
          <w:color w:val="000000" w:themeColor="text1"/>
          <w:sz w:val="24"/>
          <w:szCs w:val="28"/>
        </w:rPr>
      </w:pPr>
    </w:p>
    <w:p w14:paraId="0AF4F381" w14:textId="77777777" w:rsidR="007B0F15" w:rsidRDefault="007B0F15" w:rsidP="007B0F15">
      <w:pPr>
        <w:spacing w:line="480" w:lineRule="auto"/>
        <w:rPr>
          <w:color w:val="000000" w:themeColor="text1"/>
          <w:sz w:val="24"/>
          <w:szCs w:val="28"/>
        </w:rPr>
      </w:pPr>
    </w:p>
    <w:p w14:paraId="722E563B" w14:textId="77777777" w:rsidR="007B0F15" w:rsidRDefault="007B0F15" w:rsidP="007B0F15">
      <w:pPr>
        <w:spacing w:line="480" w:lineRule="auto"/>
        <w:rPr>
          <w:color w:val="000000" w:themeColor="text1"/>
          <w:sz w:val="24"/>
          <w:szCs w:val="28"/>
        </w:rPr>
      </w:pPr>
    </w:p>
    <w:p w14:paraId="76AF0260" w14:textId="77777777" w:rsidR="007B0F15" w:rsidRDefault="007B0F15" w:rsidP="007B0F15">
      <w:pPr>
        <w:spacing w:line="480" w:lineRule="auto"/>
        <w:rPr>
          <w:color w:val="000000" w:themeColor="text1"/>
          <w:sz w:val="24"/>
          <w:szCs w:val="28"/>
        </w:rPr>
      </w:pPr>
    </w:p>
    <w:p w14:paraId="32FB2146" w14:textId="77777777" w:rsidR="007B0F15" w:rsidRDefault="007B0F15" w:rsidP="007B0F15">
      <w:pPr>
        <w:spacing w:line="480" w:lineRule="auto"/>
        <w:rPr>
          <w:color w:val="000000" w:themeColor="text1"/>
          <w:sz w:val="24"/>
          <w:szCs w:val="28"/>
        </w:rPr>
      </w:pPr>
    </w:p>
    <w:p w14:paraId="673852C5" w14:textId="77777777" w:rsidR="007B0F15" w:rsidRDefault="007B0F15" w:rsidP="007B0F15">
      <w:pPr>
        <w:spacing w:line="480" w:lineRule="auto"/>
        <w:rPr>
          <w:color w:val="000000" w:themeColor="text1"/>
          <w:sz w:val="24"/>
          <w:szCs w:val="28"/>
        </w:rPr>
      </w:pPr>
    </w:p>
    <w:p w14:paraId="76CC2F52" w14:textId="77777777" w:rsidR="007B0F15" w:rsidRDefault="007B0F15" w:rsidP="007B0F15">
      <w:pPr>
        <w:spacing w:line="480" w:lineRule="auto"/>
        <w:rPr>
          <w:color w:val="000000" w:themeColor="text1"/>
          <w:sz w:val="24"/>
          <w:szCs w:val="28"/>
        </w:rPr>
      </w:pPr>
    </w:p>
    <w:p w14:paraId="1240623D" w14:textId="77777777" w:rsidR="007B0F15" w:rsidRDefault="007B0F15" w:rsidP="007B0F15">
      <w:pPr>
        <w:spacing w:line="480" w:lineRule="auto"/>
        <w:rPr>
          <w:color w:val="000000" w:themeColor="text1"/>
          <w:sz w:val="24"/>
          <w:szCs w:val="28"/>
        </w:rPr>
      </w:pPr>
    </w:p>
    <w:p w14:paraId="4B0584F8" w14:textId="77777777" w:rsidR="007B0F15" w:rsidRDefault="007B0F15" w:rsidP="007B0F15">
      <w:pPr>
        <w:spacing w:line="480" w:lineRule="auto"/>
        <w:rPr>
          <w:color w:val="000000" w:themeColor="text1"/>
          <w:sz w:val="24"/>
          <w:szCs w:val="28"/>
        </w:rPr>
      </w:pPr>
    </w:p>
    <w:p w14:paraId="2DCAEA86" w14:textId="77777777" w:rsidR="007B0F15" w:rsidRDefault="007B0F15" w:rsidP="007B0F15">
      <w:pPr>
        <w:spacing w:line="480" w:lineRule="auto"/>
        <w:rPr>
          <w:color w:val="000000" w:themeColor="text1"/>
          <w:sz w:val="24"/>
          <w:szCs w:val="28"/>
        </w:rPr>
      </w:pPr>
      <w:r>
        <w:rPr>
          <w:noProof/>
          <w:lang w:eastAsia="en-US"/>
        </w:rPr>
        <w:drawing>
          <wp:anchor distT="0" distB="0" distL="114300" distR="114300" simplePos="0" relativeHeight="251683840" behindDoc="1" locked="0" layoutInCell="1" allowOverlap="1" wp14:anchorId="4E614632" wp14:editId="04CEC8A1">
            <wp:simplePos x="0" y="0"/>
            <wp:positionH relativeFrom="margin">
              <wp:posOffset>-18282</wp:posOffset>
            </wp:positionH>
            <wp:positionV relativeFrom="paragraph">
              <wp:posOffset>229190</wp:posOffset>
            </wp:positionV>
            <wp:extent cx="5731510" cy="8465820"/>
            <wp:effectExtent l="0" t="0" r="2540" b="0"/>
            <wp:wrapNone/>
            <wp:docPr id="2194654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8465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93D4A5" w14:textId="77777777" w:rsidR="007B0F15" w:rsidRDefault="007B0F15" w:rsidP="007B0F15">
      <w:pPr>
        <w:spacing w:line="480" w:lineRule="auto"/>
        <w:rPr>
          <w:color w:val="000000" w:themeColor="text1"/>
          <w:sz w:val="24"/>
          <w:szCs w:val="28"/>
        </w:rPr>
      </w:pPr>
    </w:p>
    <w:p w14:paraId="2E51A019" w14:textId="77777777" w:rsidR="007B0F15" w:rsidRDefault="007B0F15" w:rsidP="007B0F15">
      <w:pPr>
        <w:spacing w:line="480" w:lineRule="auto"/>
        <w:rPr>
          <w:color w:val="000000" w:themeColor="text1"/>
          <w:sz w:val="24"/>
          <w:szCs w:val="28"/>
        </w:rPr>
      </w:pPr>
    </w:p>
    <w:p w14:paraId="0C77B6FA" w14:textId="77777777" w:rsidR="007B0F15" w:rsidRDefault="007B0F15" w:rsidP="007B0F15">
      <w:pPr>
        <w:spacing w:line="480" w:lineRule="auto"/>
        <w:rPr>
          <w:color w:val="000000" w:themeColor="text1"/>
          <w:sz w:val="24"/>
          <w:szCs w:val="28"/>
        </w:rPr>
      </w:pPr>
    </w:p>
    <w:p w14:paraId="67B34AC4" w14:textId="77777777" w:rsidR="007B0F15" w:rsidRDefault="007B0F15" w:rsidP="007B0F15">
      <w:pPr>
        <w:spacing w:line="480" w:lineRule="auto"/>
        <w:rPr>
          <w:color w:val="000000" w:themeColor="text1"/>
          <w:sz w:val="24"/>
          <w:szCs w:val="28"/>
        </w:rPr>
      </w:pPr>
    </w:p>
    <w:p w14:paraId="64483903" w14:textId="77777777" w:rsidR="007B0F15" w:rsidRDefault="007B0F15" w:rsidP="007B0F15">
      <w:pPr>
        <w:spacing w:line="480" w:lineRule="auto"/>
        <w:rPr>
          <w:color w:val="000000" w:themeColor="text1"/>
          <w:sz w:val="24"/>
          <w:szCs w:val="28"/>
        </w:rPr>
      </w:pPr>
    </w:p>
    <w:p w14:paraId="41C012F0" w14:textId="77777777" w:rsidR="007B0F15" w:rsidRDefault="007B0F15" w:rsidP="007B0F15">
      <w:pPr>
        <w:spacing w:line="480" w:lineRule="auto"/>
        <w:rPr>
          <w:color w:val="000000" w:themeColor="text1"/>
          <w:sz w:val="24"/>
          <w:szCs w:val="28"/>
        </w:rPr>
      </w:pPr>
    </w:p>
    <w:p w14:paraId="00A35BC8" w14:textId="77777777" w:rsidR="007B0F15" w:rsidRDefault="007B0F15" w:rsidP="007B0F15">
      <w:pPr>
        <w:spacing w:line="480" w:lineRule="auto"/>
        <w:rPr>
          <w:color w:val="000000" w:themeColor="text1"/>
          <w:sz w:val="24"/>
          <w:szCs w:val="28"/>
        </w:rPr>
      </w:pPr>
    </w:p>
    <w:p w14:paraId="1604ABED" w14:textId="77777777" w:rsidR="007B0F15" w:rsidRDefault="007B0F15" w:rsidP="007B0F15">
      <w:pPr>
        <w:spacing w:line="480" w:lineRule="auto"/>
        <w:rPr>
          <w:color w:val="000000" w:themeColor="text1"/>
          <w:sz w:val="24"/>
          <w:szCs w:val="28"/>
        </w:rPr>
      </w:pPr>
    </w:p>
    <w:p w14:paraId="4C445347" w14:textId="77777777" w:rsidR="007B0F15" w:rsidRDefault="007B0F15" w:rsidP="007B0F15">
      <w:pPr>
        <w:spacing w:line="480" w:lineRule="auto"/>
        <w:rPr>
          <w:color w:val="000000" w:themeColor="text1"/>
          <w:sz w:val="24"/>
          <w:szCs w:val="28"/>
        </w:rPr>
      </w:pPr>
    </w:p>
    <w:p w14:paraId="743BA843" w14:textId="77777777" w:rsidR="007B0F15" w:rsidRDefault="007B0F15" w:rsidP="007B0F15">
      <w:pPr>
        <w:spacing w:line="480" w:lineRule="auto"/>
        <w:rPr>
          <w:color w:val="000000" w:themeColor="text1"/>
          <w:sz w:val="24"/>
          <w:szCs w:val="28"/>
        </w:rPr>
      </w:pPr>
    </w:p>
    <w:p w14:paraId="2FB31637" w14:textId="77777777" w:rsidR="007B0F15" w:rsidRDefault="007B0F15" w:rsidP="007B0F15">
      <w:pPr>
        <w:spacing w:line="480" w:lineRule="auto"/>
        <w:rPr>
          <w:color w:val="000000" w:themeColor="text1"/>
          <w:sz w:val="24"/>
          <w:szCs w:val="28"/>
        </w:rPr>
      </w:pPr>
    </w:p>
    <w:p w14:paraId="046809D6" w14:textId="77777777" w:rsidR="007B0F15" w:rsidRDefault="007B0F15" w:rsidP="007B0F15">
      <w:pPr>
        <w:spacing w:line="480" w:lineRule="auto"/>
        <w:rPr>
          <w:color w:val="000000" w:themeColor="text1"/>
          <w:sz w:val="24"/>
          <w:szCs w:val="28"/>
        </w:rPr>
      </w:pPr>
    </w:p>
    <w:p w14:paraId="264DFFA8" w14:textId="77777777" w:rsidR="007B0F15" w:rsidRDefault="007B0F15" w:rsidP="007B0F15">
      <w:pPr>
        <w:spacing w:line="480" w:lineRule="auto"/>
        <w:rPr>
          <w:color w:val="000000" w:themeColor="text1"/>
          <w:sz w:val="24"/>
          <w:szCs w:val="28"/>
        </w:rPr>
      </w:pPr>
    </w:p>
    <w:p w14:paraId="19558A41" w14:textId="77777777" w:rsidR="007B0F15" w:rsidRDefault="007B0F15" w:rsidP="007B0F15">
      <w:pPr>
        <w:spacing w:line="480" w:lineRule="auto"/>
        <w:rPr>
          <w:color w:val="000000" w:themeColor="text1"/>
          <w:sz w:val="24"/>
          <w:szCs w:val="28"/>
        </w:rPr>
      </w:pPr>
    </w:p>
    <w:p w14:paraId="01A59843" w14:textId="77777777" w:rsidR="007B0F15" w:rsidRDefault="007B0F15" w:rsidP="007B0F15">
      <w:pPr>
        <w:spacing w:line="480" w:lineRule="auto"/>
        <w:rPr>
          <w:color w:val="000000" w:themeColor="text1"/>
          <w:sz w:val="24"/>
          <w:szCs w:val="28"/>
        </w:rPr>
      </w:pPr>
    </w:p>
    <w:p w14:paraId="48CF021B" w14:textId="77777777" w:rsidR="007B0F15" w:rsidRDefault="007B0F15" w:rsidP="007B0F15">
      <w:pPr>
        <w:spacing w:line="480" w:lineRule="auto"/>
        <w:rPr>
          <w:color w:val="000000" w:themeColor="text1"/>
          <w:sz w:val="24"/>
          <w:szCs w:val="28"/>
        </w:rPr>
      </w:pPr>
    </w:p>
    <w:p w14:paraId="48908F64" w14:textId="77777777" w:rsidR="007B0F15" w:rsidRDefault="007B0F15" w:rsidP="007B0F15">
      <w:pPr>
        <w:spacing w:line="480" w:lineRule="auto"/>
        <w:rPr>
          <w:b/>
          <w:bCs/>
          <w:color w:val="000000" w:themeColor="text1"/>
          <w:sz w:val="24"/>
          <w:szCs w:val="28"/>
        </w:rPr>
      </w:pPr>
    </w:p>
    <w:p w14:paraId="6CD9BC80" w14:textId="77777777" w:rsidR="007B0F15" w:rsidRPr="00114E0A" w:rsidRDefault="007B0F15" w:rsidP="007B0F15">
      <w:pPr>
        <w:spacing w:line="480" w:lineRule="auto"/>
        <w:rPr>
          <w:b/>
          <w:bCs/>
          <w:color w:val="000000" w:themeColor="text1"/>
          <w:sz w:val="24"/>
          <w:szCs w:val="28"/>
        </w:rPr>
      </w:pPr>
      <w:r w:rsidRPr="00114E0A">
        <w:rPr>
          <w:b/>
          <w:bCs/>
          <w:color w:val="000000" w:themeColor="text1"/>
          <w:sz w:val="24"/>
          <w:szCs w:val="28"/>
        </w:rPr>
        <w:t xml:space="preserve">Supplementary Figure </w:t>
      </w:r>
      <w:r w:rsidRPr="00114E0A">
        <w:rPr>
          <w:rFonts w:hint="eastAsia"/>
          <w:b/>
          <w:bCs/>
          <w:color w:val="000000" w:themeColor="text1"/>
          <w:sz w:val="24"/>
          <w:szCs w:val="28"/>
        </w:rPr>
        <w:t>1</w:t>
      </w:r>
      <w:r>
        <w:rPr>
          <w:rFonts w:hint="eastAsia"/>
          <w:b/>
          <w:bCs/>
          <w:color w:val="000000" w:themeColor="text1"/>
          <w:sz w:val="24"/>
          <w:szCs w:val="28"/>
        </w:rPr>
        <w:t>3</w:t>
      </w:r>
      <w:r w:rsidRPr="00114E0A">
        <w:rPr>
          <w:b/>
          <w:bCs/>
          <w:color w:val="000000" w:themeColor="text1"/>
          <w:sz w:val="24"/>
          <w:szCs w:val="28"/>
        </w:rPr>
        <w:t>. Gating strategies for retinal infiltrating cells and systemic T cell characterization.</w:t>
      </w:r>
    </w:p>
    <w:p w14:paraId="78217E25" w14:textId="77777777" w:rsidR="007B0F15" w:rsidRPr="00114E0A" w:rsidRDefault="007B0F15" w:rsidP="007B0F15">
      <w:pPr>
        <w:spacing w:line="480" w:lineRule="auto"/>
        <w:rPr>
          <w:color w:val="000000" w:themeColor="text1"/>
          <w:sz w:val="24"/>
          <w:szCs w:val="28"/>
        </w:rPr>
      </w:pPr>
      <w:r w:rsidRPr="00114E0A">
        <w:rPr>
          <w:b/>
          <w:bCs/>
          <w:color w:val="000000" w:themeColor="text1"/>
          <w:sz w:val="24"/>
          <w:szCs w:val="28"/>
        </w:rPr>
        <w:t>(A)</w:t>
      </w:r>
      <w:r>
        <w:rPr>
          <w:color w:val="000000" w:themeColor="text1"/>
          <w:sz w:val="24"/>
          <w:szCs w:val="28"/>
        </w:rPr>
        <w:t xml:space="preserve"> </w:t>
      </w:r>
      <w:r w:rsidRPr="00114E0A">
        <w:rPr>
          <w:color w:val="000000" w:themeColor="text1"/>
          <w:sz w:val="24"/>
          <w:szCs w:val="28"/>
        </w:rPr>
        <w:t>Gating strategy for retinal tissues.</w:t>
      </w:r>
      <w:r>
        <w:rPr>
          <w:color w:val="000000" w:themeColor="text1"/>
          <w:sz w:val="24"/>
          <w:szCs w:val="28"/>
        </w:rPr>
        <w:t xml:space="preserve"> L</w:t>
      </w:r>
      <w:r w:rsidRPr="00114E0A">
        <w:rPr>
          <w:color w:val="000000" w:themeColor="text1"/>
          <w:sz w:val="24"/>
          <w:szCs w:val="28"/>
        </w:rPr>
        <w:t>eukocytes were identified as the CD45</w:t>
      </w:r>
      <w:r>
        <w:rPr>
          <w:color w:val="000000" w:themeColor="text1"/>
          <w:sz w:val="24"/>
          <w:szCs w:val="28"/>
        </w:rPr>
        <w:t>+</w:t>
      </w:r>
      <w:r w:rsidRPr="00114E0A">
        <w:rPr>
          <w:color w:val="000000" w:themeColor="text1"/>
          <w:sz w:val="24"/>
          <w:szCs w:val="28"/>
        </w:rPr>
        <w:t xml:space="preserve"> population, </w:t>
      </w:r>
      <w:r w:rsidRPr="00054726">
        <w:rPr>
          <w:color w:val="000000" w:themeColor="text1"/>
          <w:sz w:val="24"/>
          <w:szCs w:val="28"/>
        </w:rPr>
        <w:t>from which CD4+</w:t>
      </w:r>
      <w:r>
        <w:rPr>
          <w:color w:val="000000" w:themeColor="text1"/>
          <w:sz w:val="24"/>
          <w:szCs w:val="28"/>
        </w:rPr>
        <w:t xml:space="preserve"> </w:t>
      </w:r>
      <w:r w:rsidRPr="00054726">
        <w:rPr>
          <w:color w:val="000000" w:themeColor="text1"/>
          <w:sz w:val="24"/>
          <w:szCs w:val="28"/>
        </w:rPr>
        <w:t>T cells were sequentially gated as the parent population for effector cytokine analysis</w:t>
      </w:r>
      <w:r>
        <w:rPr>
          <w:color w:val="000000" w:themeColor="text1"/>
          <w:sz w:val="24"/>
          <w:szCs w:val="28"/>
        </w:rPr>
        <w:t>.</w:t>
      </w:r>
      <w:r w:rsidRPr="00114E0A">
        <w:rPr>
          <w:color w:val="000000" w:themeColor="text1"/>
          <w:sz w:val="24"/>
          <w:szCs w:val="28"/>
        </w:rPr>
        <w:t xml:space="preserve"> </w:t>
      </w:r>
      <w:r w:rsidRPr="00114E0A">
        <w:rPr>
          <w:b/>
          <w:bCs/>
          <w:color w:val="000000" w:themeColor="text1"/>
          <w:sz w:val="24"/>
          <w:szCs w:val="28"/>
        </w:rPr>
        <w:t>(B)</w:t>
      </w:r>
      <w:r>
        <w:rPr>
          <w:color w:val="000000" w:themeColor="text1"/>
          <w:sz w:val="24"/>
          <w:szCs w:val="28"/>
        </w:rPr>
        <w:t xml:space="preserve"> </w:t>
      </w:r>
      <w:r w:rsidRPr="00114E0A">
        <w:rPr>
          <w:color w:val="000000" w:themeColor="text1"/>
          <w:sz w:val="24"/>
          <w:szCs w:val="28"/>
        </w:rPr>
        <w:t>CD4+</w:t>
      </w:r>
      <w:r>
        <w:rPr>
          <w:rFonts w:hint="eastAsia"/>
          <w:color w:val="000000" w:themeColor="text1"/>
          <w:sz w:val="24"/>
          <w:szCs w:val="28"/>
        </w:rPr>
        <w:t xml:space="preserve"> </w:t>
      </w:r>
      <w:r w:rsidRPr="00114E0A">
        <w:rPr>
          <w:color w:val="000000" w:themeColor="text1"/>
          <w:sz w:val="24"/>
          <w:szCs w:val="28"/>
        </w:rPr>
        <w:t>T</w:t>
      </w:r>
      <w:r>
        <w:rPr>
          <w:rFonts w:hint="eastAsia"/>
          <w:color w:val="000000" w:themeColor="text1"/>
          <w:sz w:val="24"/>
          <w:szCs w:val="28"/>
        </w:rPr>
        <w:t xml:space="preserve"> </w:t>
      </w:r>
      <w:r w:rsidRPr="00114E0A">
        <w:rPr>
          <w:color w:val="000000" w:themeColor="text1"/>
          <w:sz w:val="24"/>
          <w:szCs w:val="28"/>
        </w:rPr>
        <w:t xml:space="preserve">cells served as the primary gate for multidimensional immunophenotyping, encompassing lineage-specific markers, surface activation/memory profiles, and functional </w:t>
      </w:r>
      <w:r w:rsidRPr="00114E0A">
        <w:rPr>
          <w:color w:val="000000" w:themeColor="text1"/>
          <w:sz w:val="24"/>
          <w:szCs w:val="28"/>
        </w:rPr>
        <w:lastRenderedPageBreak/>
        <w:t>readouts.</w:t>
      </w:r>
    </w:p>
    <w:p w14:paraId="37F15730"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40AAAF1E"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6F0CF434"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5F0154B7" w14:textId="77777777" w:rsidR="00E77B4E" w:rsidRDefault="00E77B4E" w:rsidP="00E77B4E">
      <w:pPr>
        <w:widowControl/>
        <w:shd w:val="clear" w:color="auto" w:fill="FFFFFF"/>
        <w:spacing w:before="240" w:after="0" w:line="480" w:lineRule="auto"/>
        <w:rPr>
          <w:rFonts w:eastAsia="宋体"/>
          <w:color w:val="000000" w:themeColor="text1"/>
          <w:kern w:val="0"/>
          <w:sz w:val="24"/>
          <w:szCs w:val="24"/>
        </w:rPr>
      </w:pPr>
    </w:p>
    <w:p w14:paraId="511BEAFD" w14:textId="77777777" w:rsidR="0048648D" w:rsidRDefault="0048648D"/>
    <w:sectPr w:rsidR="004864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6524" w14:textId="77777777" w:rsidR="006C3AED" w:rsidRDefault="006C3AED" w:rsidP="002326EF">
      <w:pPr>
        <w:spacing w:after="0" w:line="240" w:lineRule="auto"/>
      </w:pPr>
      <w:r>
        <w:separator/>
      </w:r>
    </w:p>
  </w:endnote>
  <w:endnote w:type="continuationSeparator" w:id="0">
    <w:p w14:paraId="695FC759" w14:textId="77777777" w:rsidR="006C3AED" w:rsidRDefault="006C3AED" w:rsidP="00232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15955" w14:textId="77777777" w:rsidR="006C3AED" w:rsidRDefault="006C3AED" w:rsidP="002326EF">
      <w:pPr>
        <w:spacing w:after="0" w:line="240" w:lineRule="auto"/>
      </w:pPr>
      <w:r>
        <w:separator/>
      </w:r>
    </w:p>
  </w:footnote>
  <w:footnote w:type="continuationSeparator" w:id="0">
    <w:p w14:paraId="2FB20A0A" w14:textId="77777777" w:rsidR="006C3AED" w:rsidRDefault="006C3AED" w:rsidP="00232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75F04"/>
    <w:multiLevelType w:val="hybridMultilevel"/>
    <w:tmpl w:val="AB48591E"/>
    <w:lvl w:ilvl="0" w:tplc="DA48ACB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5961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4E"/>
    <w:rsid w:val="002326EF"/>
    <w:rsid w:val="00283EBF"/>
    <w:rsid w:val="003B1874"/>
    <w:rsid w:val="0048648D"/>
    <w:rsid w:val="0050531C"/>
    <w:rsid w:val="005334A2"/>
    <w:rsid w:val="005E0312"/>
    <w:rsid w:val="006C3AED"/>
    <w:rsid w:val="007B0F15"/>
    <w:rsid w:val="009E3894"/>
    <w:rsid w:val="00D1301E"/>
    <w:rsid w:val="00E2053F"/>
    <w:rsid w:val="00E77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07119"/>
  <w15:docId w15:val="{F2E70D5D-0BD7-46E9-B063-FA60E8AE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B4E"/>
    <w:pPr>
      <w:widowControl w:val="0"/>
      <w:spacing w:after="160" w:line="278" w:lineRule="auto"/>
      <w:jc w:val="both"/>
    </w:pPr>
    <w:rPr>
      <w:rFonts w:ascii="Times New Roman" w:eastAsia="微软雅黑" w:hAnsi="Times New Roman" w:cs="Times New Roman"/>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B4E"/>
    <w:pPr>
      <w:ind w:left="720"/>
      <w:contextualSpacing/>
    </w:pPr>
  </w:style>
  <w:style w:type="paragraph" w:styleId="a4">
    <w:name w:val="header"/>
    <w:basedOn w:val="a"/>
    <w:link w:val="a5"/>
    <w:uiPriority w:val="99"/>
    <w:unhideWhenUsed/>
    <w:rsid w:val="002326EF"/>
    <w:pP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2326EF"/>
    <w:rPr>
      <w:rFonts w:ascii="Times New Roman" w:eastAsia="微软雅黑" w:hAnsi="Times New Roman" w:cs="Times New Roman"/>
      <w:kern w:val="2"/>
      <w:sz w:val="18"/>
      <w:szCs w:val="18"/>
      <w:lang w:eastAsia="zh-CN"/>
    </w:rPr>
  </w:style>
  <w:style w:type="paragraph" w:styleId="a6">
    <w:name w:val="footer"/>
    <w:basedOn w:val="a"/>
    <w:link w:val="a7"/>
    <w:uiPriority w:val="99"/>
    <w:unhideWhenUsed/>
    <w:rsid w:val="002326EF"/>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2326EF"/>
    <w:rPr>
      <w:rFonts w:ascii="Times New Roman" w:eastAsia="微软雅黑" w:hAnsi="Times New Roman" w:cs="Times New Roman"/>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1748</Words>
  <Characters>9515</Characters>
  <Application>Microsoft Office Word</Application>
  <DocSecurity>0</DocSecurity>
  <Lines>432</Lines>
  <Paragraphs>31</Paragraphs>
  <ScaleCrop>false</ScaleCrop>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Jolina Tubat</dc:creator>
  <cp:lastModifiedBy>灏 吴</cp:lastModifiedBy>
  <cp:revision>7</cp:revision>
  <dcterms:created xsi:type="dcterms:W3CDTF">2026-06-23T13:55:00Z</dcterms:created>
  <dcterms:modified xsi:type="dcterms:W3CDTF">2026-06-24T14:25:00Z</dcterms:modified>
</cp:coreProperties>
</file>