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6E32" w14:textId="77777777" w:rsidR="001D5F15" w:rsidRPr="000D706D" w:rsidRDefault="00000000" w:rsidP="003C2764">
      <w:pPr>
        <w:spacing w:line="480" w:lineRule="auto"/>
        <w:rPr>
          <w:sz w:val="24"/>
          <w:szCs w:val="24"/>
        </w:rPr>
      </w:pPr>
      <w:bookmarkStart w:id="0" w:name="OLE_LINK25"/>
      <w:r w:rsidRPr="000D706D">
        <w:rPr>
          <w:b/>
        </w:rPr>
        <w:t>Supplementary Tables and Figures</w:t>
      </w:r>
    </w:p>
    <w:p w14:paraId="5AEB4F5A" w14:textId="77777777" w:rsidR="001D5F15" w:rsidRPr="000D706D" w:rsidRDefault="00000000" w:rsidP="003C2764">
      <w:pPr>
        <w:spacing w:line="480" w:lineRule="auto"/>
        <w:rPr>
          <w:sz w:val="24"/>
          <w:szCs w:val="24"/>
        </w:rPr>
      </w:pPr>
      <w:r w:rsidRPr="000D706D">
        <w:rPr>
          <w:b/>
        </w:rPr>
        <w:t>Supplementary Table S1. Baseline clinical, procedural, imaging, laboratory, and outcome characteristics of the EVT cohort.</w:t>
      </w:r>
      <w:r w:rsidRPr="000D706D">
        <w:rPr>
          <w:b/>
        </w:rPr>
        <w:br/>
      </w:r>
      <w:r w:rsidRPr="000D706D">
        <w:t>This table summarizes the principal demographic characteristics, vascular risk factors, stroke and procedural features, imaging descriptors, laboratory measurements, and 1-year outcomes in the Death and Survivor groups.</w:t>
      </w:r>
    </w:p>
    <w:p w14:paraId="1050172D" w14:textId="77777777" w:rsidR="001D5F15" w:rsidRPr="000D706D" w:rsidRDefault="00000000" w:rsidP="003C2764">
      <w:pPr>
        <w:spacing w:line="480" w:lineRule="auto"/>
        <w:rPr>
          <w:sz w:val="24"/>
          <w:szCs w:val="24"/>
        </w:rPr>
      </w:pPr>
      <w:r w:rsidRPr="000D706D">
        <w:rPr>
          <w:b/>
        </w:rPr>
        <w:t>Supplementary Table S2. Additional available clinical, procedural, imaging, timing, and laboratory source indicators.</w:t>
      </w:r>
      <w:r w:rsidRPr="000D706D">
        <w:rPr>
          <w:b/>
        </w:rPr>
        <w:br/>
      </w:r>
      <w:r w:rsidRPr="000D706D">
        <w:t>This table reports additional source variables retained for descriptive audit and contextual interpretation, including treatment, stroke-etiology, procedural, imaging, timing, and laboratory indicators not included in the primary summary table.</w:t>
      </w:r>
    </w:p>
    <w:p w14:paraId="6B95C6E7" w14:textId="77777777" w:rsidR="001D5F15" w:rsidRPr="000D706D" w:rsidRDefault="00000000" w:rsidP="003C2764">
      <w:pPr>
        <w:spacing w:line="480" w:lineRule="auto"/>
        <w:rPr>
          <w:sz w:val="24"/>
          <w:szCs w:val="24"/>
        </w:rPr>
      </w:pPr>
      <w:r w:rsidRPr="000D706D">
        <w:rPr>
          <w:b/>
        </w:rPr>
        <w:t>Supplementary Table S3. Display-label definitions and source-variable mapping for clinical indicators.</w:t>
      </w:r>
      <w:r w:rsidRPr="000D706D">
        <w:rPr>
          <w:b/>
        </w:rPr>
        <w:br/>
      </w:r>
      <w:r w:rsidRPr="000D706D">
        <w:t>This table provides the finalized display labels, full variable names, source timing and context, source-variable classification, statistical direction where applicable, model-handling information, and explanatory notes for clinical and analytical terms used in the main text and figures.</w:t>
      </w:r>
    </w:p>
    <w:p w14:paraId="6BFC768A" w14:textId="73A88409" w:rsidR="001D5F15" w:rsidRPr="000D706D" w:rsidRDefault="00000000" w:rsidP="003C2764">
      <w:pPr>
        <w:spacing w:line="480" w:lineRule="auto"/>
        <w:rPr>
          <w:sz w:val="24"/>
          <w:szCs w:val="24"/>
        </w:rPr>
      </w:pPr>
      <w:r w:rsidRPr="000D706D">
        <w:rPr>
          <w:b/>
        </w:rPr>
        <w:t>Supplementary Table S4. Differential</w:t>
      </w:r>
      <w:r w:rsidR="000F358E" w:rsidRPr="000D706D">
        <w:rPr>
          <w:rFonts w:eastAsia="宋体" w:hint="eastAsia"/>
          <w:b/>
          <w:lang w:eastAsia="zh-CN"/>
        </w:rPr>
        <w:t xml:space="preserve"> </w:t>
      </w:r>
      <w:r w:rsidRPr="000D706D">
        <w:rPr>
          <w:b/>
        </w:rPr>
        <w:t>protein analysis with nominal and Benjamini-Hochberg false discovery rate-adjusted results for the Death versus Survivor comparison.</w:t>
      </w:r>
      <w:r w:rsidRPr="000D706D">
        <w:rPr>
          <w:b/>
        </w:rPr>
        <w:br/>
      </w:r>
      <w:r w:rsidRPr="000D706D">
        <w:t xml:space="preserve">This table reports protein-wise </w:t>
      </w:r>
      <w:proofErr w:type="spellStart"/>
      <w:r w:rsidRPr="000D706D">
        <w:t>limma</w:t>
      </w:r>
      <w:proofErr w:type="spellEnd"/>
      <w:r w:rsidRPr="000D706D">
        <w:t xml:space="preserve"> results for the Death versus Survivor comparison. The primary exploratory differentially expressed protein set was defined using nominal P &lt; 0.05, whereas Benjamini-Hochberg false discovery rate-supported proteins were defined using q &lt; 0.05. The multiplicity-controlled subset is presented as an internal robustness reference for the exploratory protein context.</w:t>
      </w:r>
    </w:p>
    <w:p w14:paraId="4F5C7841" w14:textId="77777777" w:rsidR="001D5F15" w:rsidRPr="000D706D" w:rsidRDefault="00000000" w:rsidP="003C2764">
      <w:pPr>
        <w:spacing w:line="480" w:lineRule="auto"/>
        <w:rPr>
          <w:sz w:val="24"/>
          <w:szCs w:val="24"/>
        </w:rPr>
      </w:pPr>
      <w:r w:rsidRPr="000D706D">
        <w:rPr>
          <w:b/>
        </w:rPr>
        <w:t>Supplementary Table S5. Primary-input exclusion and leakage-variable handling for clinical-risk modeling.</w:t>
      </w:r>
      <w:r w:rsidRPr="000D706D">
        <w:rPr>
          <w:b/>
        </w:rPr>
        <w:br/>
      </w:r>
      <w:r w:rsidRPr="000D706D">
        <w:t>This table documents the target and follow-up descriptors separated from primary model development, the seven prespecified variables excluded before model fitting, the resulting model-eligible input set, and the post hoc baseline CT-ASPECTS sensitivity audit.</w:t>
      </w:r>
    </w:p>
    <w:p w14:paraId="297E33A6" w14:textId="77777777" w:rsidR="001D5F15" w:rsidRPr="000D706D" w:rsidRDefault="00000000" w:rsidP="003C2764">
      <w:pPr>
        <w:spacing w:line="480" w:lineRule="auto"/>
        <w:rPr>
          <w:sz w:val="24"/>
          <w:szCs w:val="24"/>
        </w:rPr>
      </w:pPr>
      <w:r w:rsidRPr="000D706D">
        <w:rPr>
          <w:b/>
        </w:rPr>
        <w:lastRenderedPageBreak/>
        <w:t>Supplementary Table S6. PPI-DDI annotation records supporting domain-pair and P-D-D-P analyses.</w:t>
      </w:r>
      <w:r w:rsidRPr="000D706D">
        <w:rPr>
          <w:b/>
        </w:rPr>
        <w:br/>
      </w:r>
      <w:r w:rsidRPr="000D706D">
        <w:t>This table provides the source protein-protein interaction/domain-domain interaction (PPI-DDI) annotation records used for the domain-pair inventory in Fig. 4D and the candidate protein-domain-domain-protein (P-D-D-P) mappings in Fig. 5D. These records support annotation-based candidate prioritization and do not establish experimentally validated physical interactions.</w:t>
      </w:r>
    </w:p>
    <w:p w14:paraId="69903F91" w14:textId="3E8FCB06" w:rsidR="001D5F15" w:rsidRPr="000D706D" w:rsidRDefault="00000000" w:rsidP="003C2764">
      <w:pPr>
        <w:spacing w:line="480" w:lineRule="auto"/>
        <w:rPr>
          <w:sz w:val="24"/>
          <w:szCs w:val="24"/>
        </w:rPr>
      </w:pPr>
      <w:r w:rsidRPr="000D706D">
        <w:rPr>
          <w:b/>
        </w:rPr>
        <w:t>Supplementary Table S7. Source data for Figure 5 candidate path scoring and display panels.</w:t>
      </w:r>
      <w:r w:rsidRPr="000D706D">
        <w:rPr>
          <w:b/>
        </w:rPr>
        <w:br/>
      </w:r>
      <w:r w:rsidRPr="000D706D">
        <w:t xml:space="preserve">This table consolidates the source data used for the Figure 5 </w:t>
      </w:r>
      <w:proofErr w:type="spellStart"/>
      <w:r w:rsidRPr="000D706D">
        <w:t>ClinIndex</w:t>
      </w:r>
      <w:proofErr w:type="spellEnd"/>
      <w:r w:rsidRPr="000D706D">
        <w:t xml:space="preserve">-linked bridge network, path-segment weights, scaled flow records, top-path and segment-contribution displays, functional-class summaries, and displayed </w:t>
      </w:r>
      <w:r w:rsidR="000F358E" w:rsidRPr="000D706D">
        <w:t>protein-domain-domain-protein</w:t>
      </w:r>
      <w:r w:rsidRPr="000D706D">
        <w:t xml:space="preserve"> candidate chains. Sections S7.5-S7.6 correspond to the Figure 5C path and segment displays, S7.7-S7.8 list the displayed Figure 5D chains, and S7.9 provides the functional-class pair summary. All weights are within-cohort ranking metrics for candidate prioritization rather than causal effects.</w:t>
      </w:r>
    </w:p>
    <w:p w14:paraId="5DE39CD4" w14:textId="6E3A1285" w:rsidR="001D5F15" w:rsidRPr="000D706D" w:rsidRDefault="00000000" w:rsidP="003C2764">
      <w:pPr>
        <w:spacing w:line="480" w:lineRule="auto"/>
        <w:rPr>
          <w:sz w:val="24"/>
          <w:szCs w:val="24"/>
        </w:rPr>
      </w:pPr>
      <w:r w:rsidRPr="000D706D">
        <w:rPr>
          <w:b/>
        </w:rPr>
        <w:t>Supplementary Table S8. Displayed PPI-DDI records supporting Figure 5D protein-domain-domain-protein chains.</w:t>
      </w:r>
      <w:r w:rsidRPr="000D706D">
        <w:rPr>
          <w:b/>
        </w:rPr>
        <w:br/>
      </w:r>
      <w:r w:rsidRPr="000D706D">
        <w:t>This table reports the displayed PPI-DDI records and the corresponding full source rows underlying the Figure 5D P-D-D-P alluvial display. The records support annotation-based candidate-chain visualization and require experimental validation for physical-interaction or causal-pathway interpretation.</w:t>
      </w:r>
    </w:p>
    <w:p w14:paraId="0004543A" w14:textId="77777777" w:rsidR="001D5F15" w:rsidRPr="000D706D" w:rsidRDefault="001D5F15" w:rsidP="003C2764">
      <w:pPr>
        <w:spacing w:line="480" w:lineRule="auto"/>
        <w:rPr>
          <w:sz w:val="24"/>
          <w:szCs w:val="24"/>
        </w:rPr>
      </w:pPr>
      <w:r w:rsidRPr="000D706D">
        <w:rPr>
          <w:b/>
        </w:rPr>
        <w:t>Supplementary Table S9. Methodological concepts and analytical rationale.</w:t>
      </w:r>
      <w:r w:rsidRPr="000D706D">
        <w:rPr>
          <w:b/>
        </w:rPr>
        <w:br/>
      </w:r>
      <w:r w:rsidRPr="000D706D">
        <w:t>Section S9.1 explains the methodological concepts used in the study, including their principles, rationale, analytical roles, inputs and outputs, and interpretation limits. Section S9.2 summarizes why each layer of the clinical-proteomic workflow was included and what distinct contribution it makes to the overall analysis.</w:t>
      </w:r>
    </w:p>
    <w:p w14:paraId="411FD511" w14:textId="77777777" w:rsidR="00F92791" w:rsidRPr="000D706D" w:rsidRDefault="00F92791"/>
    <w:p w14:paraId="7D3DB627" w14:textId="77777777" w:rsidR="001D5F15" w:rsidRPr="000D706D" w:rsidRDefault="00000000" w:rsidP="003C2764">
      <w:pPr>
        <w:pageBreakBefore/>
        <w:spacing w:line="480" w:lineRule="auto"/>
        <w:rPr>
          <w:sz w:val="24"/>
          <w:szCs w:val="24"/>
        </w:rPr>
      </w:pPr>
      <w:r w:rsidRPr="000D706D">
        <w:rPr>
          <w:b/>
        </w:rPr>
        <w:lastRenderedPageBreak/>
        <w:t>Supplementary Figure Legends</w:t>
      </w:r>
    </w:p>
    <w:p w14:paraId="43820116" w14:textId="77777777" w:rsidR="001D5F15" w:rsidRPr="000D706D" w:rsidRDefault="00000000" w:rsidP="003C2764">
      <w:pPr>
        <w:spacing w:line="480" w:lineRule="auto"/>
        <w:rPr>
          <w:sz w:val="24"/>
          <w:szCs w:val="24"/>
        </w:rPr>
      </w:pPr>
      <w:r w:rsidRPr="000D706D">
        <w:rPr>
          <w:b/>
        </w:rPr>
        <w:t>Supplementary Figure S1. Extended serum inflammatory-protein landscape across EVT-treated patients and healthy controls.</w:t>
      </w:r>
      <w:r w:rsidRPr="000D706D">
        <w:rPr>
          <w:b/>
        </w:rPr>
        <w:br/>
      </w:r>
      <w:r w:rsidRPr="000D706D">
        <w:t xml:space="preserve">(A) Extended heatmap of serum inflammatory-protein abundance across EVT-treated patients and age- and sex-matched healthy controls (HCs). Columns represent individual samples and rows represent proteins measured using the </w:t>
      </w:r>
      <w:proofErr w:type="spellStart"/>
      <w:r w:rsidRPr="000D706D">
        <w:t>Olink</w:t>
      </w:r>
      <w:proofErr w:type="spellEnd"/>
      <w:r w:rsidRPr="000D706D">
        <w:t xml:space="preserve"> Target 384 Inflammation panel. Protein abundance is shown as z-score-normalized Normalized Protein </w:t>
      </w:r>
      <w:proofErr w:type="spellStart"/>
      <w:r w:rsidRPr="000D706D">
        <w:t>eXpression</w:t>
      </w:r>
      <w:proofErr w:type="spellEnd"/>
      <w:r w:rsidRPr="000D706D">
        <w:t xml:space="preserve"> (NPX) values. Sample annotations indicate group/status and selected available clinical or procedural variables. This panel provides a descriptive cohort-level proteomic reference and is not used for clinical outcome modeling.</w:t>
      </w:r>
    </w:p>
    <w:p w14:paraId="6D7079D6" w14:textId="77777777" w:rsidR="001D5F15" w:rsidRPr="000D706D" w:rsidRDefault="00000000" w:rsidP="003C2764">
      <w:pPr>
        <w:spacing w:line="480" w:lineRule="auto"/>
        <w:rPr>
          <w:sz w:val="24"/>
          <w:szCs w:val="24"/>
        </w:rPr>
      </w:pPr>
      <w:r w:rsidRPr="000D706D">
        <w:rPr>
          <w:b/>
        </w:rPr>
        <w:t>Supplementary Figure S2. Functional enrichment and correlation structure of mortality-associated proteins.</w:t>
      </w:r>
      <w:r w:rsidRPr="000D706D">
        <w:rPr>
          <w:b/>
        </w:rPr>
        <w:br/>
      </w:r>
      <w:r w:rsidRPr="000D706D">
        <w:t>(A) Gene Ontology (GO) and Kyoto Encyclopedia of Genes and Genomes (KEGG) enrichment dot plots for selected mortality-associated protein sets. Dot size indicates the number of mapped proteins, and color indicates adjusted significance. (B) Pairwise Spearman correlation matrix among selected proteins; the color scale shows correlation strength and direction. These panels provide exploratory functional and correlation context rather than causal or mechanistic evidence.</w:t>
      </w:r>
    </w:p>
    <w:p w14:paraId="0EFF0693" w14:textId="77777777" w:rsidR="001D5F15" w:rsidRPr="000D706D" w:rsidRDefault="00000000" w:rsidP="003C2764">
      <w:pPr>
        <w:spacing w:line="480" w:lineRule="auto"/>
        <w:rPr>
          <w:sz w:val="24"/>
          <w:szCs w:val="24"/>
        </w:rPr>
      </w:pPr>
      <w:r w:rsidRPr="000D706D">
        <w:rPr>
          <w:b/>
        </w:rPr>
        <w:t xml:space="preserve">Supplementary Figure S3. Expanded </w:t>
      </w:r>
      <w:proofErr w:type="spellStart"/>
      <w:r w:rsidRPr="000D706D">
        <w:rPr>
          <w:b/>
        </w:rPr>
        <w:t>ClinIndex-ClinDistill</w:t>
      </w:r>
      <w:proofErr w:type="spellEnd"/>
      <w:r w:rsidRPr="000D706D">
        <w:rPr>
          <w:b/>
        </w:rPr>
        <w:t xml:space="preserve"> modeling workflow.</w:t>
      </w:r>
      <w:r w:rsidRPr="000D706D">
        <w:rPr>
          <w:b/>
        </w:rPr>
        <w:br/>
      </w:r>
      <w:r w:rsidRPr="000D706D">
        <w:t xml:space="preserve">(A) Overall workflow showing how the clinical-only model generated strict out-of-fold (OOF) clinical-risk probabilities and defined the </w:t>
      </w:r>
      <w:proofErr w:type="spellStart"/>
      <w:r w:rsidRPr="000D706D">
        <w:t>ClinIndex</w:t>
      </w:r>
      <w:proofErr w:type="spellEnd"/>
      <w:r w:rsidRPr="000D706D">
        <w:t xml:space="preserve"> High and </w:t>
      </w:r>
      <w:proofErr w:type="spellStart"/>
      <w:r w:rsidRPr="000D706D">
        <w:t>ClinIndex</w:t>
      </w:r>
      <w:proofErr w:type="spellEnd"/>
      <w:r w:rsidRPr="000D706D">
        <w:t xml:space="preserve"> Low strata. The panel separates the clinical-risk teacher signal from the downstream protein-space interpretation layer. (B) </w:t>
      </w:r>
      <w:proofErr w:type="spellStart"/>
      <w:r w:rsidRPr="000D706D">
        <w:t>ClinDistill</w:t>
      </w:r>
      <w:proofErr w:type="spellEnd"/>
      <w:r w:rsidRPr="000D706D">
        <w:t xml:space="preserve"> student-model schematic. The clinical OOF risk signal (</w:t>
      </w:r>
      <w:proofErr w:type="spellStart"/>
      <w:r w:rsidRPr="000D706D">
        <w:t>pclin</w:t>
      </w:r>
      <w:proofErr w:type="spellEnd"/>
      <w:r w:rsidRPr="000D706D">
        <w:t xml:space="preserve">) served as the soft teacher target, and the protein-space </w:t>
      </w:r>
      <w:proofErr w:type="spellStart"/>
      <w:r w:rsidRPr="000D706D">
        <w:t>ClinDistill</w:t>
      </w:r>
      <w:proofErr w:type="spellEnd"/>
      <w:r w:rsidRPr="000D706D">
        <w:t xml:space="preserve"> representation generated the student output (</w:t>
      </w:r>
      <w:proofErr w:type="spellStart"/>
      <w:r w:rsidRPr="000D706D">
        <w:t>pdistill</w:t>
      </w:r>
      <w:proofErr w:type="spellEnd"/>
      <w:r w:rsidRPr="000D706D">
        <w:t xml:space="preserve">) from pre-EVT serum protein features. </w:t>
      </w:r>
      <w:proofErr w:type="spellStart"/>
      <w:r w:rsidRPr="000D706D">
        <w:t>ClinDistill</w:t>
      </w:r>
      <w:proofErr w:type="spellEnd"/>
      <w:r w:rsidRPr="000D706D">
        <w:t xml:space="preserve"> did not define </w:t>
      </w:r>
      <w:proofErr w:type="spellStart"/>
      <w:r w:rsidRPr="000D706D">
        <w:t>ClinIndex</w:t>
      </w:r>
      <w:proofErr w:type="spellEnd"/>
      <w:r w:rsidRPr="000D706D">
        <w:t xml:space="preserve"> strata and should not be interpreted as independent or external validation.</w:t>
      </w:r>
    </w:p>
    <w:bookmarkEnd w:id="0"/>
    <w:p w14:paraId="68ABE461" w14:textId="32B0F7DE" w:rsidR="001D5F15" w:rsidRPr="000D706D" w:rsidRDefault="00000000" w:rsidP="003C2764">
      <w:pPr>
        <w:pageBreakBefore/>
        <w:spacing w:line="480" w:lineRule="auto"/>
        <w:rPr>
          <w:sz w:val="24"/>
          <w:szCs w:val="24"/>
        </w:rPr>
      </w:pPr>
      <w:r w:rsidRPr="000D706D">
        <w:rPr>
          <w:b/>
        </w:rPr>
        <w:lastRenderedPageBreak/>
        <w:t>Supplementary Figure S4. Extended domain-domain interaction and bridge-protein annotation summaries.</w:t>
      </w:r>
      <w:r w:rsidRPr="000D706D">
        <w:rPr>
          <w:b/>
        </w:rPr>
        <w:br/>
      </w:r>
      <w:r w:rsidRPr="000D706D">
        <w:t>(A</w:t>
      </w:r>
      <w:r w:rsidR="000C22AA" w:rsidRPr="000D706D">
        <w:rPr>
          <w:rFonts w:ascii="宋体" w:eastAsia="宋体" w:hAnsi="宋体" w:cs="宋体" w:hint="eastAsia"/>
          <w:lang w:eastAsia="zh-CN"/>
        </w:rPr>
        <w:t xml:space="preserve">, </w:t>
      </w:r>
      <w:r w:rsidRPr="000D706D">
        <w:t>B) Domain-domain interaction (DDI) functional-class chord diagrams for Core-DEP (A) and Core-non-DEP (B) proteins. The diagrams summarize annotation-supported functional-class patterns, including tumor necrosis factor receptor/cytokine-related and adhesion/extracellular-matrix-related organization. (C) Bridge-protein panel summarizing candidate connectors across Core-DEP, Core-non-DEP, and Other-DEP groups. This annotation-based panel does not establish causal effects, directional information flow, or experimentally validated physical interactions. Corresponding source records are provided in Supplementary Tables S6-S8.</w:t>
      </w:r>
    </w:p>
    <w:sectPr w:rsidR="001D5F15" w:rsidRPr="000D706D" w:rsidSect="00034616">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EF92" w14:textId="77777777" w:rsidR="00B7347A" w:rsidRDefault="00B7347A" w:rsidP="00BA13EE">
      <w:pPr>
        <w:spacing w:after="0" w:line="240" w:lineRule="auto"/>
      </w:pPr>
      <w:r>
        <w:separator/>
      </w:r>
    </w:p>
  </w:endnote>
  <w:endnote w:type="continuationSeparator" w:id="0">
    <w:p w14:paraId="4082664B" w14:textId="77777777" w:rsidR="00B7347A" w:rsidRDefault="00B7347A" w:rsidP="00BA1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7616" w14:textId="77777777" w:rsidR="00B7347A" w:rsidRDefault="00B7347A" w:rsidP="00BA13EE">
      <w:pPr>
        <w:spacing w:after="0" w:line="240" w:lineRule="auto"/>
      </w:pPr>
      <w:r>
        <w:separator/>
      </w:r>
    </w:p>
  </w:footnote>
  <w:footnote w:type="continuationSeparator" w:id="0">
    <w:p w14:paraId="3440DB68" w14:textId="77777777" w:rsidR="00B7347A" w:rsidRDefault="00B7347A" w:rsidP="00BA1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78207011">
    <w:abstractNumId w:val="8"/>
  </w:num>
  <w:num w:numId="2" w16cid:durableId="549265299">
    <w:abstractNumId w:val="6"/>
  </w:num>
  <w:num w:numId="3" w16cid:durableId="550458316">
    <w:abstractNumId w:val="5"/>
  </w:num>
  <w:num w:numId="4" w16cid:durableId="235285542">
    <w:abstractNumId w:val="4"/>
  </w:num>
  <w:num w:numId="5" w16cid:durableId="1553543979">
    <w:abstractNumId w:val="7"/>
  </w:num>
  <w:num w:numId="6" w16cid:durableId="1534614151">
    <w:abstractNumId w:val="3"/>
  </w:num>
  <w:num w:numId="7" w16cid:durableId="405566330">
    <w:abstractNumId w:val="2"/>
  </w:num>
  <w:num w:numId="8" w16cid:durableId="1382513669">
    <w:abstractNumId w:val="1"/>
  </w:num>
  <w:num w:numId="9" w16cid:durableId="44014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22AA"/>
    <w:rsid w:val="000D706D"/>
    <w:rsid w:val="000D754B"/>
    <w:rsid w:val="000F358E"/>
    <w:rsid w:val="0015074B"/>
    <w:rsid w:val="001D5F15"/>
    <w:rsid w:val="0029639D"/>
    <w:rsid w:val="00326F90"/>
    <w:rsid w:val="003647A7"/>
    <w:rsid w:val="003C2764"/>
    <w:rsid w:val="00406E02"/>
    <w:rsid w:val="006156B7"/>
    <w:rsid w:val="00740C99"/>
    <w:rsid w:val="007F44DE"/>
    <w:rsid w:val="00983D20"/>
    <w:rsid w:val="009A25DF"/>
    <w:rsid w:val="00AA1D8D"/>
    <w:rsid w:val="00B47730"/>
    <w:rsid w:val="00B628C5"/>
    <w:rsid w:val="00B7347A"/>
    <w:rsid w:val="00BA13EE"/>
    <w:rsid w:val="00CB0664"/>
    <w:rsid w:val="00CD31B2"/>
    <w:rsid w:val="00D36CC3"/>
    <w:rsid w:val="00D84D38"/>
    <w:rsid w:val="00EA224F"/>
    <w:rsid w:val="00F927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60BDC2"/>
  <w14:defaultImageDpi w14:val="300"/>
  <w15:docId w15:val="{E7D706AD-F9A5-4A0B-AB52-46E6978A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814</Words>
  <Characters>5913</Characters>
  <Application>Microsoft Office Word</Application>
  <DocSecurity>0</DocSecurity>
  <Lines>77</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林继先</cp:lastModifiedBy>
  <cp:revision>2</cp:revision>
  <dcterms:created xsi:type="dcterms:W3CDTF">2026-07-11T07:39:00Z</dcterms:created>
  <dcterms:modified xsi:type="dcterms:W3CDTF">2026-07-11T07:39:00Z</dcterms:modified>
  <cp:category/>
</cp:coreProperties>
</file>