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B1920" w14:textId="473360DD" w:rsidR="005A08D5" w:rsidRDefault="007379F1">
      <w:pPr>
        <w:rPr>
          <w:rFonts w:hint="eastAsia"/>
        </w:rPr>
      </w:pPr>
      <w:r>
        <w:rPr>
          <w:noProof/>
        </w:rPr>
        <w:drawing>
          <wp:inline distT="0" distB="0" distL="0" distR="0" wp14:anchorId="786FA1C4" wp14:editId="59EF2A37">
            <wp:extent cx="5276850" cy="5276850"/>
            <wp:effectExtent l="0" t="0" r="0" b="0"/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F9501" w14:textId="77777777" w:rsidR="005A08D5" w:rsidRDefault="00000000">
      <w:pPr>
        <w:rPr>
          <w:rFonts w:hint="eastAsia"/>
        </w:rPr>
      </w:pPr>
      <w:r>
        <w:rPr>
          <w:rFonts w:ascii="Times New Roman" w:eastAsia="宋体" w:hAnsi="Times New Roman" w:hint="eastAsia"/>
          <w:b/>
          <w:bCs/>
        </w:rPr>
        <w:t>Figure S1 Diagnostic plots for the multiple linear regression model. (A)</w:t>
      </w:r>
      <w:r>
        <w:rPr>
          <w:rFonts w:ascii="Times New Roman" w:eastAsia="宋体" w:hAnsi="Times New Roman" w:hint="eastAsia"/>
        </w:rPr>
        <w:t xml:space="preserve"> Residuals vs. fitted values. The random scatter of residuals around zero confirms a linear relationship between NIHSS scores and the predictors.</w:t>
      </w:r>
      <w:r>
        <w:rPr>
          <w:rFonts w:ascii="Times New Roman" w:eastAsia="宋体" w:hAnsi="Times New Roman" w:hint="eastAsia"/>
          <w:b/>
          <w:bCs/>
        </w:rPr>
        <w:t xml:space="preserve"> (B)</w:t>
      </w:r>
      <w:r>
        <w:rPr>
          <w:rFonts w:ascii="Times New Roman" w:eastAsia="宋体" w:hAnsi="Times New Roman" w:hint="eastAsia"/>
        </w:rPr>
        <w:t xml:space="preserve"> Normal Q-Q plot. The close alignment of points with the theoretical line indicates normally.</w:t>
      </w:r>
      <w:r>
        <w:rPr>
          <w:rFonts w:ascii="Times New Roman" w:eastAsia="宋体" w:hAnsi="Times New Roman" w:hint="eastAsia"/>
          <w:sz w:val="24"/>
          <w:szCs w:val="28"/>
        </w:rPr>
        <w:t xml:space="preserve"> </w:t>
      </w:r>
      <w:r>
        <w:rPr>
          <w:rFonts w:ascii="Times New Roman" w:eastAsia="宋体" w:hAnsi="Times New Roman" w:hint="eastAsia"/>
          <w:b/>
          <w:bCs/>
        </w:rPr>
        <w:t xml:space="preserve">(C) </w:t>
      </w:r>
      <w:r>
        <w:rPr>
          <w:rFonts w:ascii="Times New Roman" w:eastAsia="宋体" w:hAnsi="Times New Roman" w:hint="eastAsia"/>
        </w:rPr>
        <w:t>Scale-Location plot. The constant spread of residuals across fitted values supports the homoscedasticity assumption.</w:t>
      </w:r>
      <w:r>
        <w:rPr>
          <w:rFonts w:ascii="Times New Roman" w:eastAsia="宋体" w:hAnsi="Times New Roman" w:hint="eastAsia"/>
          <w:sz w:val="24"/>
          <w:szCs w:val="28"/>
        </w:rPr>
        <w:t xml:space="preserve"> </w:t>
      </w:r>
      <w:r>
        <w:rPr>
          <w:rFonts w:ascii="Times New Roman" w:eastAsia="宋体" w:hAnsi="Times New Roman" w:hint="eastAsia"/>
          <w:b/>
          <w:bCs/>
        </w:rPr>
        <w:t xml:space="preserve">(D) </w:t>
      </w:r>
      <w:r>
        <w:rPr>
          <w:rFonts w:ascii="Times New Roman" w:eastAsia="宋体" w:hAnsi="Times New Roman" w:hint="eastAsia"/>
        </w:rPr>
        <w:t>Residuals vs. leverage plot. Most data points are in the low-leverage region, with all Cook</w:t>
      </w:r>
      <w:r>
        <w:rPr>
          <w:rFonts w:ascii="Times New Roman" w:eastAsia="宋体" w:hAnsi="Times New Roman" w:hint="eastAsia"/>
        </w:rPr>
        <w:t>’</w:t>
      </w:r>
      <w:r>
        <w:rPr>
          <w:rFonts w:ascii="Times New Roman" w:eastAsia="宋体" w:hAnsi="Times New Roman" w:hint="eastAsia"/>
        </w:rPr>
        <w:t>s distance values below 0.5, confirming the absence of unduly influential observations.</w:t>
      </w:r>
    </w:p>
    <w:p w14:paraId="77E3F990" w14:textId="77777777" w:rsidR="005A08D5" w:rsidRDefault="005A08D5">
      <w:pPr>
        <w:rPr>
          <w:rFonts w:hint="eastAsia"/>
        </w:rPr>
      </w:pPr>
    </w:p>
    <w:p w14:paraId="7FE9FDF9" w14:textId="77777777" w:rsidR="005A08D5" w:rsidRDefault="005A08D5">
      <w:pPr>
        <w:rPr>
          <w:rFonts w:hint="eastAsia"/>
        </w:rPr>
      </w:pPr>
    </w:p>
    <w:p w14:paraId="4EC1329E" w14:textId="2BEAFC16" w:rsidR="005A08D5" w:rsidRDefault="007379F1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6D9DC3E7" wp14:editId="56C05789">
            <wp:extent cx="5276850" cy="3390900"/>
            <wp:effectExtent l="0" t="0" r="0" b="0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hint="eastAsia"/>
          <w:b/>
          <w:bCs/>
        </w:rPr>
        <w:t xml:space="preserve">Figure S2 </w:t>
      </w:r>
      <w:r>
        <w:rPr>
          <w:rFonts w:ascii="Times New Roman" w:eastAsia="宋体" w:hAnsi="Times New Roman"/>
          <w:b/>
          <w:bCs/>
        </w:rPr>
        <w:t>Expression distribution of the normalized GSE23160 dataset.</w:t>
      </w:r>
    </w:p>
    <w:p w14:paraId="64BFA64C" w14:textId="77777777" w:rsidR="005A08D5" w:rsidRDefault="005A08D5">
      <w:pPr>
        <w:rPr>
          <w:rFonts w:ascii="Times New Roman" w:hAnsi="Times New Roman"/>
        </w:rPr>
      </w:pPr>
    </w:p>
    <w:p w14:paraId="275B95B7" w14:textId="7B558E2F" w:rsidR="005A08D5" w:rsidRDefault="007379F1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58715DBE" wp14:editId="3F715EFB">
            <wp:extent cx="4318000" cy="5759450"/>
            <wp:effectExtent l="0" t="0" r="0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0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B5ABA" w14:textId="77777777" w:rsidR="005A08D5" w:rsidRDefault="000000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  <w:b/>
          <w:bCs/>
        </w:rPr>
        <w:t xml:space="preserve">Figure S3 </w:t>
      </w:r>
      <w:r>
        <w:rPr>
          <w:rFonts w:ascii="Times New Roman" w:eastAsia="宋体" w:hAnsi="Times New Roman"/>
          <w:b/>
          <w:bCs/>
        </w:rPr>
        <w:t>Cell type annotation markers for single-cell RNA sequencing datasets.</w:t>
      </w:r>
      <w:r>
        <w:rPr>
          <w:rFonts w:ascii="Times New Roman" w:eastAsia="宋体" w:hAnsi="Times New Roman" w:hint="eastAsia"/>
          <w:b/>
          <w:bCs/>
        </w:rPr>
        <w:t xml:space="preserve"> (A)</w:t>
      </w:r>
      <w:r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/>
        </w:rPr>
        <w:t>Dot plot displaying canonical marker genes used for cell type identification in dataset GSE227651.</w:t>
      </w:r>
      <w:r>
        <w:rPr>
          <w:rFonts w:ascii="Times New Roman" w:eastAsia="宋体" w:hAnsi="Times New Roman" w:hint="eastAsia"/>
          <w:b/>
          <w:bCs/>
        </w:rPr>
        <w:t xml:space="preserve"> (B)</w:t>
      </w:r>
      <w:r>
        <w:rPr>
          <w:rFonts w:ascii="Times New Roman" w:eastAsia="宋体" w:hAnsi="Times New Roman" w:hint="eastAsia"/>
        </w:rPr>
        <w:t xml:space="preserve"> U</w:t>
      </w:r>
      <w:r>
        <w:rPr>
          <w:rFonts w:ascii="Times New Roman" w:eastAsia="宋体" w:hAnsi="Times New Roman"/>
        </w:rPr>
        <w:t>MAP visualization of the cellular landscape in mouse brain from dataset GSE225948.</w:t>
      </w:r>
      <w:r>
        <w:rPr>
          <w:rFonts w:ascii="Times New Roman" w:eastAsia="宋体" w:hAnsi="Times New Roman" w:hint="eastAsia"/>
          <w:sz w:val="24"/>
          <w:szCs w:val="28"/>
        </w:rPr>
        <w:t xml:space="preserve"> </w:t>
      </w:r>
      <w:r>
        <w:rPr>
          <w:rFonts w:ascii="Times New Roman" w:eastAsia="宋体" w:hAnsi="Times New Roman" w:hint="eastAsia"/>
          <w:b/>
          <w:bCs/>
        </w:rPr>
        <w:t xml:space="preserve">(C) </w:t>
      </w:r>
      <w:r>
        <w:rPr>
          <w:rFonts w:ascii="Times New Roman" w:eastAsia="宋体" w:hAnsi="Times New Roman"/>
        </w:rPr>
        <w:t>Dot plot displaying canonical marker genes used for cell type identification in dataset GSE225948.</w:t>
      </w:r>
    </w:p>
    <w:p w14:paraId="20249C31" w14:textId="6EE66973" w:rsidR="005A08D5" w:rsidRDefault="007379F1">
      <w:pPr>
        <w:rPr>
          <w:rFonts w:ascii="Times New Roman" w:eastAsia="宋体" w:hAnsi="Times New Roman"/>
        </w:rPr>
      </w:pPr>
      <w:r>
        <w:rPr>
          <w:noProof/>
        </w:rPr>
        <w:lastRenderedPageBreak/>
        <w:drawing>
          <wp:anchor distT="0" distB="0" distL="114300" distR="114300" simplePos="0" relativeHeight="251657216" behindDoc="0" locked="0" layoutInCell="1" allowOverlap="1" wp14:anchorId="1026205D" wp14:editId="1C61CC46">
            <wp:simplePos x="0" y="0"/>
            <wp:positionH relativeFrom="column">
              <wp:posOffset>344805</wp:posOffset>
            </wp:positionH>
            <wp:positionV relativeFrom="paragraph">
              <wp:posOffset>46355</wp:posOffset>
            </wp:positionV>
            <wp:extent cx="4114800" cy="6863715"/>
            <wp:effectExtent l="0" t="0" r="0" b="0"/>
            <wp:wrapTopAndBottom/>
            <wp:docPr id="25008428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686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宋体" w:hAnsi="Times New Roman" w:hint="eastAsia"/>
          <w:b/>
          <w:bCs/>
        </w:rPr>
        <w:t xml:space="preserve">Figure S4 </w:t>
      </w:r>
      <w:r>
        <w:rPr>
          <w:rFonts w:ascii="Times New Roman" w:eastAsia="宋体" w:hAnsi="Times New Roman"/>
          <w:b/>
          <w:bCs/>
        </w:rPr>
        <w:t>Intracerebroventricular AAV delivery effectively knocks down GPR84 in brain tissue.</w:t>
      </w:r>
      <w:r>
        <w:rPr>
          <w:rFonts w:ascii="Times New Roman" w:eastAsia="宋体" w:hAnsi="Times New Roman" w:hint="eastAsia"/>
          <w:b/>
          <w:bCs/>
        </w:rPr>
        <w:t xml:space="preserve"> (A)</w:t>
      </w:r>
      <w:r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/>
        </w:rPr>
        <w:t>Immunoblot</w:t>
      </w:r>
      <w:r>
        <w:rPr>
          <w:rFonts w:ascii="Times New Roman" w:eastAsia="宋体" w:hAnsi="Times New Roman" w:hint="eastAsia"/>
        </w:rPr>
        <w:t>ting</w:t>
      </w:r>
      <w:r>
        <w:rPr>
          <w:rFonts w:ascii="Times New Roman" w:eastAsia="宋体" w:hAnsi="Times New Roman"/>
        </w:rPr>
        <w:t xml:space="preserve"> analysis of GPR84 protein expression in the peri-infarct region.</w:t>
      </w:r>
      <w:r>
        <w:rPr>
          <w:rFonts w:ascii="Times New Roman" w:eastAsia="宋体" w:hAnsi="Times New Roman" w:hint="eastAsia"/>
          <w:b/>
          <w:bCs/>
        </w:rPr>
        <w:t xml:space="preserve"> (B)</w:t>
      </w:r>
      <w:r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/>
        </w:rPr>
        <w:t>Quantification of GPR84 protein levels from (A). Data are mean ± SEM (n = 6). **P &lt; 0.01, ***P &lt; 0.001</w:t>
      </w:r>
      <w:r>
        <w:rPr>
          <w:rFonts w:ascii="Times New Roman" w:eastAsia="宋体" w:hAnsi="Times New Roman" w:hint="eastAsia"/>
        </w:rPr>
        <w:t>,</w:t>
      </w:r>
      <w:bookmarkStart w:id="0" w:name="OLE_LINK1"/>
      <w:r>
        <w:rPr>
          <w:rFonts w:ascii="Times New Roman" w:eastAsia="宋体" w:hAnsi="Times New Roman"/>
        </w:rPr>
        <w:t xml:space="preserve"> </w:t>
      </w:r>
      <w:r>
        <w:rPr>
          <w:rFonts w:ascii="Times New Roman" w:eastAsia="宋体" w:hAnsi="Times New Roman" w:hint="eastAsia"/>
        </w:rPr>
        <w:t>two</w:t>
      </w:r>
      <w:bookmarkEnd w:id="0"/>
      <w:r>
        <w:rPr>
          <w:rFonts w:ascii="Times New Roman" w:eastAsia="宋体" w:hAnsi="Times New Roman"/>
        </w:rPr>
        <w:t>-way ANOVA.</w:t>
      </w:r>
      <w:r>
        <w:rPr>
          <w:rFonts w:ascii="Times New Roman" w:eastAsia="宋体" w:hAnsi="Times New Roman" w:hint="eastAsia"/>
          <w:sz w:val="24"/>
          <w:szCs w:val="28"/>
        </w:rPr>
        <w:t xml:space="preserve"> </w:t>
      </w:r>
      <w:r>
        <w:rPr>
          <w:rFonts w:ascii="Times New Roman" w:eastAsia="宋体" w:hAnsi="Times New Roman" w:hint="eastAsia"/>
          <w:b/>
          <w:bCs/>
        </w:rPr>
        <w:t xml:space="preserve">(C) </w:t>
      </w:r>
      <w:r>
        <w:rPr>
          <w:rFonts w:ascii="Times New Roman" w:eastAsia="宋体" w:hAnsi="Times New Roman"/>
        </w:rPr>
        <w:t>RT-qPCR analysis of </w:t>
      </w:r>
      <w:r>
        <w:rPr>
          <w:rFonts w:ascii="Times New Roman" w:eastAsia="宋体" w:hAnsi="Times New Roman"/>
          <w:i/>
          <w:iCs/>
        </w:rPr>
        <w:t>Gpr84</w:t>
      </w:r>
      <w:r>
        <w:rPr>
          <w:rFonts w:ascii="Times New Roman" w:eastAsia="宋体" w:hAnsi="Times New Roman"/>
        </w:rPr>
        <w:t> mRNA levels in the peri-infarct area. Data are mean ± SEM (n = 6). *P &lt; 0.05, ***P &lt; 0.001</w:t>
      </w:r>
      <w:r>
        <w:rPr>
          <w:rFonts w:ascii="Times New Roman" w:eastAsia="宋体" w:hAnsi="Times New Roman" w:hint="eastAsia"/>
        </w:rPr>
        <w:t>, two</w:t>
      </w:r>
      <w:r>
        <w:rPr>
          <w:rFonts w:ascii="Times New Roman" w:eastAsia="宋体" w:hAnsi="Times New Roman"/>
        </w:rPr>
        <w:t>-way ANOVA.</w:t>
      </w:r>
      <w:r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/>
          <w:b/>
          <w:bCs/>
        </w:rPr>
        <w:t>(D)</w:t>
      </w:r>
      <w:r>
        <w:rPr>
          <w:rFonts w:ascii="Times New Roman" w:eastAsia="宋体" w:hAnsi="Times New Roman"/>
        </w:rPr>
        <w:t> Representative immunofluorescence images showing GPR84 (red) co-localized with Iba1⁺ microglia (green) in the peri-infarct region at 3 days post-</w:t>
      </w:r>
      <w:proofErr w:type="spellStart"/>
      <w:r>
        <w:rPr>
          <w:rFonts w:ascii="Times New Roman" w:eastAsia="宋体" w:hAnsi="Times New Roman"/>
        </w:rPr>
        <w:t>tMCAO</w:t>
      </w:r>
      <w:proofErr w:type="spellEnd"/>
      <w:r>
        <w:rPr>
          <w:rFonts w:ascii="Times New Roman" w:eastAsia="宋体" w:hAnsi="Times New Roman"/>
        </w:rPr>
        <w:t>.</w:t>
      </w:r>
      <w:r>
        <w:rPr>
          <w:rFonts w:ascii="Times New Roman" w:eastAsia="宋体" w:hAnsi="Times New Roman" w:hint="eastAsia"/>
        </w:rPr>
        <w:t xml:space="preserve"> </w:t>
      </w:r>
      <w:r w:rsidR="00675431">
        <w:rPr>
          <w:rFonts w:ascii="Times New Roman" w:eastAsia="宋体" w:hAnsi="Times New Roman" w:hint="eastAsia"/>
        </w:rPr>
        <w:t xml:space="preserve">Bar = 50 </w:t>
      </w:r>
      <w:proofErr w:type="spellStart"/>
      <w:r w:rsidR="00675431" w:rsidRPr="00A6585F">
        <w:rPr>
          <w:rFonts w:ascii="Times New Roman" w:eastAsia="宋体" w:hAnsi="Times New Roman"/>
        </w:rPr>
        <w:t>μm</w:t>
      </w:r>
      <w:proofErr w:type="spellEnd"/>
      <w:r w:rsidR="00675431">
        <w:rPr>
          <w:rFonts w:ascii="Times New Roman" w:eastAsia="宋体" w:hAnsi="Times New Roman" w:hint="eastAsia"/>
        </w:rPr>
        <w:t xml:space="preserve">, Bar = 10 </w:t>
      </w:r>
      <w:proofErr w:type="spellStart"/>
      <w:r w:rsidR="00675431" w:rsidRPr="00A6585F">
        <w:rPr>
          <w:rFonts w:ascii="Times New Roman" w:eastAsia="宋体" w:hAnsi="Times New Roman"/>
        </w:rPr>
        <w:t>μm</w:t>
      </w:r>
      <w:proofErr w:type="spellEnd"/>
      <w:r w:rsidR="00675431">
        <w:rPr>
          <w:rFonts w:ascii="Times New Roman" w:eastAsia="宋体" w:hAnsi="Times New Roman" w:hint="eastAsia"/>
        </w:rPr>
        <w:t xml:space="preserve"> (higher-magnification images)</w:t>
      </w:r>
      <w:r w:rsidR="00675431" w:rsidRPr="00675431">
        <w:rPr>
          <w:rFonts w:ascii="Times New Roman" w:eastAsia="宋体" w:hAnsi="Times New Roman" w:hint="eastAsia"/>
        </w:rPr>
        <w:t>.</w:t>
      </w:r>
      <w:r w:rsidR="00675431">
        <w:rPr>
          <w:rFonts w:ascii="Times New Roman" w:eastAsia="宋体" w:hAnsi="Times New Roman" w:hint="eastAsia"/>
          <w:b/>
          <w:bCs/>
        </w:rPr>
        <w:t xml:space="preserve"> </w:t>
      </w:r>
      <w:r>
        <w:rPr>
          <w:rFonts w:ascii="Times New Roman" w:eastAsia="宋体" w:hAnsi="Times New Roman"/>
          <w:b/>
          <w:bCs/>
        </w:rPr>
        <w:t>(E)</w:t>
      </w:r>
      <w:r>
        <w:rPr>
          <w:rFonts w:ascii="Times New Roman" w:eastAsia="宋体" w:hAnsi="Times New Roman"/>
        </w:rPr>
        <w:t> Quantification of Iba1⁺ microglia density in the ischemic areas from (D). Data are mean ± SEM (n = 6). ***P &lt; 0.001</w:t>
      </w:r>
      <w:r>
        <w:rPr>
          <w:rFonts w:ascii="Times New Roman" w:eastAsia="宋体" w:hAnsi="Times New Roman" w:hint="eastAsia"/>
        </w:rPr>
        <w:t>,</w:t>
      </w:r>
      <w:r>
        <w:rPr>
          <w:rFonts w:ascii="Times New Roman" w:eastAsia="宋体" w:hAnsi="Times New Roman"/>
        </w:rPr>
        <w:t xml:space="preserve"> one-way ANOVA.</w:t>
      </w:r>
      <w:r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/>
          <w:b/>
          <w:bCs/>
        </w:rPr>
        <w:t>(F)</w:t>
      </w:r>
      <w:r>
        <w:rPr>
          <w:rFonts w:ascii="Times New Roman" w:eastAsia="宋体" w:hAnsi="Times New Roman"/>
        </w:rPr>
        <w:t xml:space="preserve"> Quantification of GPR84 mean fluorescence intensity </w:t>
      </w:r>
      <w:r>
        <w:rPr>
          <w:rFonts w:ascii="Times New Roman" w:eastAsia="宋体" w:hAnsi="Times New Roman"/>
        </w:rPr>
        <w:lastRenderedPageBreak/>
        <w:t>(MFI) in Iba1⁺ microglia from (D). Data are mean ± SEM (n = 6). ***P &lt; 0.001</w:t>
      </w:r>
      <w:r>
        <w:rPr>
          <w:rFonts w:ascii="Times New Roman" w:eastAsia="宋体" w:hAnsi="Times New Roman" w:hint="eastAsia"/>
        </w:rPr>
        <w:t>, o</w:t>
      </w:r>
      <w:r>
        <w:rPr>
          <w:rFonts w:ascii="Times New Roman" w:eastAsia="宋体" w:hAnsi="Times New Roman"/>
        </w:rPr>
        <w:t>ne-way ANOVA.</w:t>
      </w:r>
    </w:p>
    <w:p w14:paraId="3788B8C7" w14:textId="77777777" w:rsidR="000A118B" w:rsidRDefault="000A118B">
      <w:pPr>
        <w:rPr>
          <w:rFonts w:ascii="Times New Roman" w:eastAsia="宋体" w:hAnsi="Times New Roman"/>
        </w:rPr>
      </w:pPr>
    </w:p>
    <w:p w14:paraId="13256DE2" w14:textId="77777777" w:rsidR="000A118B" w:rsidRDefault="000A118B">
      <w:pPr>
        <w:rPr>
          <w:rFonts w:ascii="Times New Roman" w:eastAsia="宋体" w:hAnsi="Times New Roman"/>
        </w:rPr>
      </w:pPr>
    </w:p>
    <w:p w14:paraId="1DF52470" w14:textId="410F76F3" w:rsidR="00950054" w:rsidRDefault="00DB6563">
      <w:pPr>
        <w:rPr>
          <w:rFonts w:ascii="Times New Roman" w:eastAsia="宋体" w:hAnsi="Times New Roman"/>
        </w:rPr>
      </w:pPr>
      <w:r>
        <w:rPr>
          <w:rFonts w:ascii="Times New Roman" w:eastAsia="宋体" w:hAnsi="Times New Roman"/>
          <w:noProof/>
        </w:rPr>
        <w:drawing>
          <wp:inline distT="0" distB="0" distL="0" distR="0" wp14:anchorId="0953238B" wp14:editId="7BEF1D85">
            <wp:extent cx="4432300" cy="2315381"/>
            <wp:effectExtent l="0" t="0" r="6350" b="8890"/>
            <wp:docPr id="8221753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175392" name="图片 82217539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1311" cy="2320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38C0A" w14:textId="341A8A8C" w:rsidR="005A08D5" w:rsidRDefault="005E7800" w:rsidP="005E7800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  <w:b/>
          <w:bCs/>
        </w:rPr>
        <w:t xml:space="preserve">Figure S5 </w:t>
      </w:r>
      <w:r w:rsidRPr="005E7800">
        <w:rPr>
          <w:rFonts w:ascii="Times New Roman" w:hAnsi="Times New Roman"/>
          <w:b/>
          <w:bCs/>
        </w:rPr>
        <w:t>Representative triple</w:t>
      </w:r>
      <w:r>
        <w:rPr>
          <w:rFonts w:ascii="Times New Roman" w:hAnsi="Times New Roman" w:hint="eastAsia"/>
          <w:b/>
          <w:bCs/>
        </w:rPr>
        <w:t>-</w:t>
      </w:r>
      <w:r w:rsidRPr="005E7800">
        <w:rPr>
          <w:rFonts w:ascii="Times New Roman" w:hAnsi="Times New Roman"/>
          <w:b/>
          <w:bCs/>
        </w:rPr>
        <w:t>staining image from contralateral brain tissue as negative control</w:t>
      </w:r>
      <w:r w:rsidR="009B46AA">
        <w:rPr>
          <w:rFonts w:ascii="Times New Roman" w:hAnsi="Times New Roman" w:hint="eastAsia"/>
          <w:b/>
          <w:bCs/>
        </w:rPr>
        <w:t xml:space="preserve">. </w:t>
      </w:r>
      <w:r w:rsidR="009B46AA" w:rsidRPr="009B46AA">
        <w:rPr>
          <w:rFonts w:ascii="Times New Roman" w:hAnsi="Times New Roman"/>
        </w:rPr>
        <w:t>NeuN served as a neuronal marker, Iba1 to identify microglia, and TUNEL staining to detect damaged apoptotic cells.</w:t>
      </w:r>
      <w:r w:rsidR="009B46AA">
        <w:rPr>
          <w:rFonts w:ascii="Times New Roman" w:hAnsi="Times New Roman" w:hint="eastAsia"/>
        </w:rPr>
        <w:t xml:space="preserve"> Bar = </w:t>
      </w:r>
      <w:r w:rsidR="004B29A0">
        <w:rPr>
          <w:rFonts w:ascii="Times New Roman" w:eastAsia="宋体" w:hAnsi="Times New Roman" w:hint="eastAsia"/>
        </w:rPr>
        <w:t>5</w:t>
      </w:r>
      <w:r w:rsidR="009B46AA">
        <w:rPr>
          <w:rFonts w:ascii="Times New Roman" w:eastAsia="宋体" w:hAnsi="Times New Roman" w:hint="eastAsia"/>
        </w:rPr>
        <w:t xml:space="preserve">0 </w:t>
      </w:r>
      <w:proofErr w:type="spellStart"/>
      <w:r w:rsidR="009B46AA" w:rsidRPr="00A24630">
        <w:rPr>
          <w:rFonts w:ascii="Times New Roman" w:eastAsia="宋体" w:hAnsi="Times New Roman"/>
        </w:rPr>
        <w:t>μm</w:t>
      </w:r>
      <w:proofErr w:type="spellEnd"/>
      <w:r w:rsidR="009B46AA">
        <w:rPr>
          <w:rFonts w:ascii="Times New Roman" w:eastAsia="宋体" w:hAnsi="Times New Roman" w:hint="eastAsia"/>
        </w:rPr>
        <w:t xml:space="preserve">. </w:t>
      </w:r>
      <w:r w:rsidR="009B46AA" w:rsidRPr="009B46AA">
        <w:rPr>
          <w:rFonts w:ascii="Times New Roman" w:eastAsia="宋体" w:hAnsi="Times New Roman"/>
        </w:rPr>
        <w:t>Rare TUNEL⁺ neurons were found in contralateral brain regions.</w:t>
      </w:r>
    </w:p>
    <w:p w14:paraId="31A0540B" w14:textId="77777777" w:rsidR="002916A8" w:rsidRPr="009B46AA" w:rsidRDefault="002916A8" w:rsidP="005E7800">
      <w:pPr>
        <w:rPr>
          <w:rFonts w:ascii="Times New Roman" w:eastAsia="宋体" w:hAnsi="Times New Roman"/>
        </w:rPr>
      </w:pPr>
    </w:p>
    <w:p w14:paraId="6EC4FFDD" w14:textId="3299ADAD" w:rsidR="005A08D5" w:rsidRDefault="007379F1">
      <w:pPr>
        <w:rPr>
          <w:rFonts w:ascii="Times New Roman" w:eastAsia="宋体" w:hAnsi="Times New Roman"/>
        </w:rPr>
      </w:pPr>
      <w:r>
        <w:rPr>
          <w:rFonts w:ascii="Times New Roman" w:eastAsia="宋体" w:hAnsi="Times New Roman"/>
          <w:noProof/>
        </w:rPr>
        <w:drawing>
          <wp:inline distT="0" distB="0" distL="0" distR="0" wp14:anchorId="19B667D6" wp14:editId="7286A5F5">
            <wp:extent cx="5270500" cy="4610100"/>
            <wp:effectExtent l="0" t="0" r="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8A145" w14:textId="27C87D39" w:rsidR="00727450" w:rsidRDefault="00000000">
      <w:pPr>
        <w:rPr>
          <w:rFonts w:hint="eastAsia"/>
        </w:rPr>
      </w:pPr>
      <w:r>
        <w:rPr>
          <w:rFonts w:ascii="Times New Roman" w:eastAsia="宋体" w:hAnsi="Times New Roman" w:hint="eastAsia"/>
          <w:b/>
          <w:bCs/>
        </w:rPr>
        <w:lastRenderedPageBreak/>
        <w:t>Figure S</w:t>
      </w:r>
      <w:r w:rsidR="001F510B">
        <w:rPr>
          <w:rFonts w:ascii="Times New Roman" w:eastAsia="宋体" w:hAnsi="Times New Roman" w:hint="eastAsia"/>
          <w:b/>
          <w:bCs/>
        </w:rPr>
        <w:t>6</w:t>
      </w:r>
      <w:r>
        <w:rPr>
          <w:rFonts w:ascii="Times New Roman" w:eastAsia="宋体" w:hAnsi="Times New Roman" w:hint="eastAsia"/>
          <w:b/>
          <w:bCs/>
        </w:rPr>
        <w:t xml:space="preserve"> </w:t>
      </w:r>
      <w:r>
        <w:rPr>
          <w:rFonts w:ascii="Times New Roman" w:eastAsia="宋体" w:hAnsi="Times New Roman"/>
          <w:b/>
          <w:bCs/>
        </w:rPr>
        <w:t>GPR84 Knockdown Validation and </w:t>
      </w:r>
      <w:r>
        <w:rPr>
          <w:rFonts w:ascii="Times New Roman" w:eastAsia="宋体" w:hAnsi="Times New Roman"/>
          <w:b/>
          <w:bCs/>
          <w:i/>
          <w:iCs/>
        </w:rPr>
        <w:t>In Vitro</w:t>
      </w:r>
      <w:r>
        <w:rPr>
          <w:rFonts w:ascii="Times New Roman" w:eastAsia="宋体" w:hAnsi="Times New Roman"/>
          <w:b/>
          <w:bCs/>
        </w:rPr>
        <w:t> Efferocytosis Assay.</w:t>
      </w:r>
      <w:r>
        <w:rPr>
          <w:rFonts w:ascii="Times New Roman" w:eastAsia="宋体" w:hAnsi="Times New Roman" w:hint="eastAsia"/>
          <w:b/>
          <w:bCs/>
        </w:rPr>
        <w:t xml:space="preserve"> (A)</w:t>
      </w:r>
      <w:r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/>
        </w:rPr>
        <w:t> Flow cytometry analysis confirming &gt;</w:t>
      </w:r>
      <w:r w:rsidR="00DA3698"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/>
        </w:rPr>
        <w:t>90% purity of cultured microglia (CD11b⁺ cells).</w:t>
      </w:r>
      <w:r>
        <w:rPr>
          <w:rFonts w:ascii="Times New Roman" w:eastAsia="宋体" w:hAnsi="Times New Roman" w:hint="eastAsia"/>
          <w:b/>
          <w:bCs/>
        </w:rPr>
        <w:t xml:space="preserve"> (B)</w:t>
      </w:r>
      <w:r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/>
        </w:rPr>
        <w:t>Immunoblot</w:t>
      </w:r>
      <w:r>
        <w:rPr>
          <w:rFonts w:ascii="Times New Roman" w:eastAsia="宋体" w:hAnsi="Times New Roman" w:hint="eastAsia"/>
        </w:rPr>
        <w:t>ting</w:t>
      </w:r>
      <w:r>
        <w:rPr>
          <w:rFonts w:ascii="Times New Roman" w:eastAsia="宋体" w:hAnsi="Times New Roman"/>
        </w:rPr>
        <w:t xml:space="preserve"> of GPR84 protein expression under various treatments.</w:t>
      </w:r>
      <w:r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/>
          <w:b/>
          <w:bCs/>
        </w:rPr>
        <w:t>(C)</w:t>
      </w:r>
      <w:r>
        <w:rPr>
          <w:rFonts w:ascii="Times New Roman" w:eastAsia="宋体" w:hAnsi="Times New Roman"/>
        </w:rPr>
        <w:t xml:space="preserve">  Quantification of GPR84 protein levels from (</w:t>
      </w:r>
      <w:r>
        <w:rPr>
          <w:rFonts w:ascii="Times New Roman" w:eastAsia="宋体" w:hAnsi="Times New Roman" w:hint="eastAsia"/>
        </w:rPr>
        <w:t>B</w:t>
      </w:r>
      <w:r>
        <w:rPr>
          <w:rFonts w:ascii="Times New Roman" w:eastAsia="宋体" w:hAnsi="Times New Roman"/>
        </w:rPr>
        <w:t>)</w:t>
      </w:r>
      <w:r>
        <w:rPr>
          <w:rFonts w:ascii="Times New Roman" w:eastAsia="宋体" w:hAnsi="Times New Roman" w:hint="eastAsia"/>
        </w:rPr>
        <w:t xml:space="preserve">. </w:t>
      </w:r>
      <w:r>
        <w:rPr>
          <w:rFonts w:ascii="Times New Roman" w:eastAsia="宋体" w:hAnsi="Times New Roman"/>
        </w:rPr>
        <w:t xml:space="preserve">Data are mean ± SEM (n = </w:t>
      </w:r>
      <w:r>
        <w:rPr>
          <w:rFonts w:ascii="Times New Roman" w:eastAsia="宋体" w:hAnsi="Times New Roman" w:hint="eastAsia"/>
        </w:rPr>
        <w:t>3</w:t>
      </w:r>
      <w:r>
        <w:rPr>
          <w:rFonts w:ascii="Times New Roman" w:eastAsia="宋体" w:hAnsi="Times New Roman"/>
        </w:rPr>
        <w:t>). **P &lt; 0.01, ***P &lt; 0.001</w:t>
      </w:r>
      <w:r>
        <w:rPr>
          <w:rFonts w:ascii="Times New Roman" w:eastAsia="宋体" w:hAnsi="Times New Roman" w:hint="eastAsia"/>
        </w:rPr>
        <w:t>,</w:t>
      </w:r>
      <w:r>
        <w:rPr>
          <w:rFonts w:ascii="Times New Roman" w:eastAsia="宋体" w:hAnsi="Times New Roman"/>
        </w:rPr>
        <w:t xml:space="preserve"> </w:t>
      </w:r>
      <w:r>
        <w:rPr>
          <w:rFonts w:ascii="Times New Roman" w:eastAsia="宋体" w:hAnsi="Times New Roman" w:hint="eastAsia"/>
        </w:rPr>
        <w:t>two</w:t>
      </w:r>
      <w:r>
        <w:rPr>
          <w:rFonts w:ascii="Times New Roman" w:eastAsia="宋体" w:hAnsi="Times New Roman"/>
        </w:rPr>
        <w:t>-way ANOVA.</w:t>
      </w:r>
      <w:r>
        <w:rPr>
          <w:rFonts w:ascii="Times New Roman" w:eastAsia="宋体" w:hAnsi="Times New Roman"/>
          <w:b/>
          <w:bCs/>
        </w:rPr>
        <w:t xml:space="preserve"> (</w:t>
      </w:r>
      <w:r>
        <w:rPr>
          <w:rFonts w:ascii="Times New Roman" w:eastAsia="宋体" w:hAnsi="Times New Roman" w:hint="eastAsia"/>
          <w:b/>
          <w:bCs/>
        </w:rPr>
        <w:t>D</w:t>
      </w:r>
      <w:r>
        <w:rPr>
          <w:rFonts w:ascii="Times New Roman" w:eastAsia="宋体" w:hAnsi="Times New Roman"/>
          <w:b/>
          <w:bCs/>
        </w:rPr>
        <w:t>)</w:t>
      </w:r>
      <w:r>
        <w:rPr>
          <w:rFonts w:ascii="Times New Roman" w:eastAsia="宋体" w:hAnsi="Times New Roman"/>
        </w:rPr>
        <w:t xml:space="preserve">  RT-qPCR analysis of </w:t>
      </w:r>
      <w:r>
        <w:rPr>
          <w:rFonts w:ascii="Times New Roman" w:eastAsia="宋体" w:hAnsi="Times New Roman"/>
          <w:i/>
          <w:iCs/>
        </w:rPr>
        <w:t>Gpr84</w:t>
      </w:r>
      <w:r>
        <w:rPr>
          <w:rFonts w:ascii="Times New Roman" w:eastAsia="宋体" w:hAnsi="Times New Roman"/>
        </w:rPr>
        <w:t xml:space="preserve"> mRNA levels under various treatments. Data are mean ± SEM (n = </w:t>
      </w:r>
      <w:r>
        <w:rPr>
          <w:rFonts w:ascii="Times New Roman" w:eastAsia="宋体" w:hAnsi="Times New Roman" w:hint="eastAsia"/>
        </w:rPr>
        <w:t>3</w:t>
      </w:r>
      <w:r>
        <w:rPr>
          <w:rFonts w:ascii="Times New Roman" w:eastAsia="宋体" w:hAnsi="Times New Roman"/>
        </w:rPr>
        <w:t>). *P &lt; 0.05, ***P &lt; 0.001</w:t>
      </w:r>
      <w:r>
        <w:rPr>
          <w:rFonts w:ascii="Times New Roman" w:eastAsia="宋体" w:hAnsi="Times New Roman" w:hint="eastAsia"/>
        </w:rPr>
        <w:t>, two</w:t>
      </w:r>
      <w:r>
        <w:rPr>
          <w:rFonts w:ascii="Times New Roman" w:eastAsia="宋体" w:hAnsi="Times New Roman"/>
        </w:rPr>
        <w:t>-way ANOVA.</w:t>
      </w:r>
      <w:r>
        <w:rPr>
          <w:rFonts w:ascii="Times New Roman" w:eastAsia="宋体" w:hAnsi="Times New Roman"/>
          <w:b/>
          <w:bCs/>
        </w:rPr>
        <w:t xml:space="preserve"> (</w:t>
      </w:r>
      <w:r>
        <w:rPr>
          <w:rFonts w:ascii="Times New Roman" w:eastAsia="宋体" w:hAnsi="Times New Roman" w:hint="eastAsia"/>
          <w:b/>
          <w:bCs/>
        </w:rPr>
        <w:t>E</w:t>
      </w:r>
      <w:r>
        <w:rPr>
          <w:rFonts w:ascii="Times New Roman" w:eastAsia="宋体" w:hAnsi="Times New Roman"/>
          <w:b/>
          <w:bCs/>
        </w:rPr>
        <w:t>)</w:t>
      </w:r>
      <w:r>
        <w:rPr>
          <w:rFonts w:ascii="Times New Roman" w:eastAsia="宋体" w:hAnsi="Times New Roman" w:hint="eastAsia"/>
          <w:b/>
          <w:bCs/>
        </w:rPr>
        <w:t xml:space="preserve"> </w:t>
      </w:r>
      <w:r>
        <w:rPr>
          <w:rFonts w:ascii="Times New Roman" w:eastAsia="宋体" w:hAnsi="Times New Roman"/>
        </w:rPr>
        <w:t>Annexin V/PI staining showing ~70% neuronal apoptosis after OGD/R.</w:t>
      </w:r>
      <w:r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/>
          <w:b/>
          <w:bCs/>
        </w:rPr>
        <w:t>(</w:t>
      </w:r>
      <w:r>
        <w:rPr>
          <w:rFonts w:ascii="Times New Roman" w:eastAsia="宋体" w:hAnsi="Times New Roman" w:hint="eastAsia"/>
          <w:b/>
          <w:bCs/>
        </w:rPr>
        <w:t>F</w:t>
      </w:r>
      <w:r>
        <w:rPr>
          <w:rFonts w:ascii="Times New Roman" w:eastAsia="宋体" w:hAnsi="Times New Roman"/>
          <w:b/>
          <w:bCs/>
        </w:rPr>
        <w:t>)</w:t>
      </w:r>
      <w:r>
        <w:rPr>
          <w:rFonts w:ascii="Times New Roman" w:eastAsia="宋体" w:hAnsi="Times New Roman" w:hint="eastAsia"/>
          <w:b/>
          <w:bCs/>
        </w:rPr>
        <w:t xml:space="preserve"> </w:t>
      </w:r>
      <w:r>
        <w:rPr>
          <w:rFonts w:ascii="Times New Roman" w:eastAsia="宋体" w:hAnsi="Times New Roman"/>
        </w:rPr>
        <w:t>Schematic of the efferocytosis assay workflow.</w:t>
      </w:r>
      <w:r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/>
          <w:b/>
          <w:bCs/>
        </w:rPr>
        <w:t>(G)</w:t>
      </w:r>
      <w:r>
        <w:rPr>
          <w:rFonts w:ascii="Times New Roman" w:eastAsia="宋体" w:hAnsi="Times New Roman"/>
        </w:rPr>
        <w:t> Design of the microglia-neuron co-culture system.</w:t>
      </w:r>
    </w:p>
    <w:sectPr w:rsidR="0072745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F0BEA" w14:textId="77777777" w:rsidR="00A71DCC" w:rsidRDefault="00A71DCC" w:rsidP="007C0000">
      <w:pPr>
        <w:rPr>
          <w:rFonts w:hint="eastAsia"/>
        </w:rPr>
      </w:pPr>
      <w:r>
        <w:separator/>
      </w:r>
    </w:p>
  </w:endnote>
  <w:endnote w:type="continuationSeparator" w:id="0">
    <w:p w14:paraId="5931663D" w14:textId="77777777" w:rsidR="00A71DCC" w:rsidRDefault="00A71DCC" w:rsidP="007C000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5B750" w14:textId="77777777" w:rsidR="00A71DCC" w:rsidRDefault="00A71DCC" w:rsidP="007C0000">
      <w:pPr>
        <w:rPr>
          <w:rFonts w:hint="eastAsia"/>
        </w:rPr>
      </w:pPr>
      <w:r>
        <w:separator/>
      </w:r>
    </w:p>
  </w:footnote>
  <w:footnote w:type="continuationSeparator" w:id="0">
    <w:p w14:paraId="7D312D75" w14:textId="77777777" w:rsidR="00A71DCC" w:rsidRDefault="00A71DCC" w:rsidP="007C000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2VlNDBlODk1MTgxMTUxYzZhYmJmNGUzMWUyMjZmOTYifQ=="/>
  </w:docVars>
  <w:rsids>
    <w:rsidRoot w:val="001C0668"/>
    <w:rsid w:val="000040DB"/>
    <w:rsid w:val="00022FE4"/>
    <w:rsid w:val="000A118B"/>
    <w:rsid w:val="00141093"/>
    <w:rsid w:val="001968B0"/>
    <w:rsid w:val="001C0668"/>
    <w:rsid w:val="001F510B"/>
    <w:rsid w:val="00226F66"/>
    <w:rsid w:val="002916A8"/>
    <w:rsid w:val="002E4D00"/>
    <w:rsid w:val="00347A2B"/>
    <w:rsid w:val="004B29A0"/>
    <w:rsid w:val="004C510A"/>
    <w:rsid w:val="004F51D7"/>
    <w:rsid w:val="005A08D5"/>
    <w:rsid w:val="005E7800"/>
    <w:rsid w:val="006369B9"/>
    <w:rsid w:val="006402A0"/>
    <w:rsid w:val="00675431"/>
    <w:rsid w:val="006E0438"/>
    <w:rsid w:val="006E41E4"/>
    <w:rsid w:val="00727450"/>
    <w:rsid w:val="007379F1"/>
    <w:rsid w:val="00743853"/>
    <w:rsid w:val="00762008"/>
    <w:rsid w:val="007C0000"/>
    <w:rsid w:val="007F5A12"/>
    <w:rsid w:val="008541D1"/>
    <w:rsid w:val="00874030"/>
    <w:rsid w:val="00950054"/>
    <w:rsid w:val="00982AFA"/>
    <w:rsid w:val="009A4056"/>
    <w:rsid w:val="009B46AA"/>
    <w:rsid w:val="00A47CB4"/>
    <w:rsid w:val="00A71DCC"/>
    <w:rsid w:val="00AD5D69"/>
    <w:rsid w:val="00AE1C22"/>
    <w:rsid w:val="00BA1F23"/>
    <w:rsid w:val="00BD268D"/>
    <w:rsid w:val="00C6690B"/>
    <w:rsid w:val="00D04180"/>
    <w:rsid w:val="00D51B5F"/>
    <w:rsid w:val="00D551EC"/>
    <w:rsid w:val="00D937AE"/>
    <w:rsid w:val="00DA3698"/>
    <w:rsid w:val="00DB6563"/>
    <w:rsid w:val="00DF66C4"/>
    <w:rsid w:val="00E83A7B"/>
    <w:rsid w:val="00FF219A"/>
    <w:rsid w:val="03C82976"/>
    <w:rsid w:val="3C977710"/>
    <w:rsid w:val="6FF71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D01BBF"/>
  <w14:defaultImageDpi w14:val="32767"/>
  <w15:chartTrackingRefBased/>
  <w15:docId w15:val="{5A4BDD07-E96C-41B9-B711-FDBB43D31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="等线 Light" w:eastAsia="等线 Light" w:hAnsi="等线 Light"/>
      <w:color w:val="0F4761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/>
      <w:outlineLvl w:val="1"/>
    </w:pPr>
    <w:rPr>
      <w:rFonts w:ascii="等线 Light" w:eastAsia="等线 Light" w:hAnsi="等线 Light"/>
      <w:color w:val="0F4761"/>
      <w:sz w:val="40"/>
      <w:szCs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/>
      <w:outlineLvl w:val="2"/>
    </w:pPr>
    <w:rPr>
      <w:rFonts w:ascii="等线 Light" w:eastAsia="等线 Light" w:hAnsi="等线 Light"/>
      <w:color w:val="0F4761"/>
      <w:sz w:val="32"/>
      <w:szCs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/>
      <w:outlineLvl w:val="3"/>
    </w:pPr>
    <w:rPr>
      <w:color w:val="0F4761"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/>
      <w:outlineLvl w:val="4"/>
    </w:pPr>
    <w:rPr>
      <w:color w:val="0F4761"/>
      <w:sz w:val="24"/>
      <w:szCs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b/>
      <w:bCs/>
      <w:color w:val="0F4761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/>
      <w:outlineLvl w:val="6"/>
    </w:pPr>
    <w:rPr>
      <w:b/>
      <w:bCs/>
      <w:color w:val="595959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outlineLvl w:val="7"/>
    </w:pPr>
    <w:rPr>
      <w:color w:val="595959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outlineLvl w:val="8"/>
    </w:pPr>
    <w:rPr>
      <w:rFonts w:eastAsia="等线 Light"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uiPriority w:val="9"/>
    <w:rPr>
      <w:rFonts w:ascii="等线 Light" w:eastAsia="等线 Light" w:hAnsi="等线 Light" w:cs="Times New Roman"/>
      <w:color w:val="0F4761"/>
      <w:sz w:val="48"/>
      <w:szCs w:val="48"/>
    </w:rPr>
  </w:style>
  <w:style w:type="character" w:customStyle="1" w:styleId="20">
    <w:name w:val="标题 2 字符"/>
    <w:link w:val="2"/>
    <w:uiPriority w:val="9"/>
    <w:semiHidden/>
    <w:rPr>
      <w:rFonts w:ascii="等线 Light" w:eastAsia="等线 Light" w:hAnsi="等线 Light" w:cs="Times New Roman"/>
      <w:color w:val="0F4761"/>
      <w:sz w:val="40"/>
      <w:szCs w:val="40"/>
    </w:rPr>
  </w:style>
  <w:style w:type="character" w:customStyle="1" w:styleId="30">
    <w:name w:val="标题 3 字符"/>
    <w:link w:val="3"/>
    <w:uiPriority w:val="9"/>
    <w:semiHidden/>
    <w:rPr>
      <w:rFonts w:ascii="等线 Light" w:eastAsia="等线 Light" w:hAnsi="等线 Light" w:cs="Times New Roman"/>
      <w:color w:val="0F4761"/>
      <w:sz w:val="32"/>
      <w:szCs w:val="32"/>
    </w:rPr>
  </w:style>
  <w:style w:type="character" w:customStyle="1" w:styleId="40">
    <w:name w:val="标题 4 字符"/>
    <w:link w:val="4"/>
    <w:uiPriority w:val="9"/>
    <w:semiHidden/>
    <w:rPr>
      <w:rFonts w:cs="Times New Roman"/>
      <w:color w:val="0F4761"/>
      <w:sz w:val="28"/>
      <w:szCs w:val="28"/>
    </w:rPr>
  </w:style>
  <w:style w:type="character" w:customStyle="1" w:styleId="50">
    <w:name w:val="标题 5 字符"/>
    <w:link w:val="5"/>
    <w:uiPriority w:val="9"/>
    <w:semiHidden/>
    <w:rPr>
      <w:rFonts w:cs="Times New Roman"/>
      <w:color w:val="0F4761"/>
      <w:sz w:val="24"/>
      <w:szCs w:val="24"/>
    </w:rPr>
  </w:style>
  <w:style w:type="character" w:customStyle="1" w:styleId="60">
    <w:name w:val="标题 6 字符"/>
    <w:link w:val="6"/>
    <w:uiPriority w:val="9"/>
    <w:semiHidden/>
    <w:rPr>
      <w:rFonts w:cs="Times New Roman"/>
      <w:b/>
      <w:bCs/>
      <w:color w:val="0F4761"/>
    </w:rPr>
  </w:style>
  <w:style w:type="character" w:customStyle="1" w:styleId="70">
    <w:name w:val="标题 7 字符"/>
    <w:link w:val="7"/>
    <w:uiPriority w:val="9"/>
    <w:semiHidden/>
    <w:rPr>
      <w:rFonts w:cs="Times New Roman"/>
      <w:b/>
      <w:bCs/>
      <w:color w:val="595959"/>
    </w:rPr>
  </w:style>
  <w:style w:type="character" w:customStyle="1" w:styleId="80">
    <w:name w:val="标题 8 字符"/>
    <w:link w:val="8"/>
    <w:uiPriority w:val="9"/>
    <w:semiHidden/>
    <w:rPr>
      <w:rFonts w:cs="Times New Roman"/>
      <w:color w:val="595959"/>
    </w:rPr>
  </w:style>
  <w:style w:type="character" w:customStyle="1" w:styleId="90">
    <w:name w:val="标题 9 字符"/>
    <w:link w:val="9"/>
    <w:uiPriority w:val="9"/>
    <w:semiHidden/>
    <w:rPr>
      <w:rFonts w:eastAsia="等线 Light" w:cs="Times New Roman"/>
      <w:color w:val="595959"/>
    </w:rPr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link w:val="a3"/>
    <w:uiPriority w:val="99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numPr>
        <w:ilvl w:val="1"/>
      </w:numPr>
      <w:spacing w:after="160"/>
      <w:jc w:val="center"/>
    </w:pPr>
    <w:rPr>
      <w:rFonts w:ascii="等线 Light" w:eastAsia="等线 Light" w:hAnsi="等线 Light"/>
      <w:color w:val="595959"/>
      <w:spacing w:val="15"/>
      <w:sz w:val="28"/>
      <w:szCs w:val="28"/>
    </w:rPr>
  </w:style>
  <w:style w:type="character" w:customStyle="1" w:styleId="a8">
    <w:name w:val="副标题 字符"/>
    <w:link w:val="a7"/>
    <w:uiPriority w:val="11"/>
    <w:rPr>
      <w:rFonts w:ascii="等线 Light" w:eastAsia="等线 Light" w:hAnsi="等线 Light" w:cs="Times New Roman"/>
      <w:color w:val="595959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="等线 Light" w:eastAsia="等线 Light" w:hAnsi="等线 Light"/>
      <w:spacing w:val="-10"/>
      <w:kern w:val="28"/>
      <w:sz w:val="56"/>
      <w:szCs w:val="56"/>
    </w:rPr>
  </w:style>
  <w:style w:type="character" w:customStyle="1" w:styleId="aa">
    <w:name w:val="标题 字符"/>
    <w:link w:val="a9"/>
    <w:uiPriority w:val="10"/>
    <w:rPr>
      <w:rFonts w:ascii="等线 Light" w:eastAsia="等线 Light" w:hAnsi="等线 Light" w:cs="Times New Roman"/>
      <w:spacing w:val="-10"/>
      <w:kern w:val="28"/>
      <w:sz w:val="56"/>
      <w:szCs w:val="56"/>
    </w:rPr>
  </w:style>
  <w:style w:type="paragraph" w:styleId="ab">
    <w:name w:val="Quote"/>
    <w:basedOn w:val="a"/>
    <w:next w:val="a"/>
    <w:link w:val="ac"/>
    <w:uiPriority w:val="29"/>
    <w:qFormat/>
    <w:pPr>
      <w:spacing w:before="160" w:after="160"/>
      <w:jc w:val="center"/>
    </w:pPr>
    <w:rPr>
      <w:i/>
      <w:iCs/>
      <w:color w:val="404040"/>
    </w:rPr>
  </w:style>
  <w:style w:type="character" w:customStyle="1" w:styleId="ac">
    <w:name w:val="引用 字符"/>
    <w:link w:val="ab"/>
    <w:uiPriority w:val="29"/>
    <w:rPr>
      <w:i/>
      <w:iCs/>
      <w:color w:val="404040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styleId="ae">
    <w:name w:val="Intense Emphasis"/>
    <w:uiPriority w:val="21"/>
    <w:qFormat/>
    <w:rPr>
      <w:i/>
      <w:iCs/>
      <w:color w:val="0F4761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f0">
    <w:name w:val="明显引用 字符"/>
    <w:link w:val="af"/>
    <w:uiPriority w:val="30"/>
    <w:rPr>
      <w:i/>
      <w:iCs/>
      <w:color w:val="0F4761"/>
    </w:rPr>
  </w:style>
  <w:style w:type="character" w:styleId="af1">
    <w:name w:val="Intense Reference"/>
    <w:uiPriority w:val="32"/>
    <w:qFormat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tif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461</Words>
  <Characters>2519</Characters>
  <Application>Microsoft Office Word</Application>
  <DocSecurity>0</DocSecurity>
  <PresentationFormat/>
  <Lines>45</Lines>
  <Paragraphs>7</Paragraphs>
  <Slides>0</Slides>
  <Notes>0</Notes>
  <HiddenSlides>0</HiddenSlides>
  <MMClips>0</MMClips>
  <ScaleCrop>false</ScaleCrop>
  <Manager/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涛 白</cp:lastModifiedBy>
  <cp:revision>9</cp:revision>
  <dcterms:created xsi:type="dcterms:W3CDTF">2026-07-04T15:20:00Z</dcterms:created>
  <dcterms:modified xsi:type="dcterms:W3CDTF">2026-08-04T06:04:00Z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D37CF7755EA8419F87FEA43EE90787F5</vt:lpwstr>
  </property>
  <property fmtid="{D5CDD505-2E9C-101B-9397-08002B2CF9AE}" pid="4" name="KSOTemplateDocerSaveRecord">
    <vt:lpwstr>eyJoZGlkIjoiY2VlNDBlODk1MTgxMTUxYzZhYmJmNGUzMWUyMjZmOTYiLCJ1c2VySWQiOiIxODAzNjUzODQxIn0=</vt:lpwstr>
  </property>
</Properties>
</file>