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C" w:rsidRDefault="006E6BFE" w:rsidP="0025756C">
      <w:pPr>
        <w:suppressAutoHyphens w:val="0"/>
        <w:rPr>
          <w:b/>
          <w:sz w:val="24"/>
          <w:szCs w:val="24"/>
          <w:shd w:val="clear" w:color="auto" w:fill="FFFFFF"/>
        </w:rPr>
      </w:pPr>
      <w:r>
        <w:rPr>
          <w:b/>
          <w:noProof/>
          <w:sz w:val="24"/>
          <w:szCs w:val="24"/>
          <w:shd w:val="clear" w:color="auto" w:fill="FFFFFF"/>
          <w:lang w:val="en-IN" w:eastAsia="en-IN"/>
        </w:rPr>
        <w:drawing>
          <wp:inline distT="0" distB="0" distL="0" distR="0">
            <wp:extent cx="5487508" cy="5936412"/>
            <wp:effectExtent l="0" t="0" r="3492" b="349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8744" cy="5937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562C" w:rsidRPr="004425E0" w:rsidRDefault="00A907E6" w:rsidP="000B562C">
      <w:pPr>
        <w:suppressAutoHyphens w:val="0"/>
        <w:spacing w:line="48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662BD0" w:rsidRPr="0059187E">
        <w:rPr>
          <w:rFonts w:ascii="Times New Roman" w:hAnsi="Times New Roman" w:cs="Times New Roman"/>
          <w:b/>
          <w:sz w:val="24"/>
          <w:szCs w:val="24"/>
        </w:rPr>
        <w:t xml:space="preserve">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662BD0" w:rsidRPr="0059187E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="00662BD0" w:rsidRPr="0059187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662BD0" w:rsidRPr="0059187E">
        <w:rPr>
          <w:rFonts w:ascii="Times New Roman" w:hAnsi="Times New Roman" w:cs="Times New Roman"/>
          <w:b/>
          <w:sz w:val="24"/>
          <w:szCs w:val="24"/>
        </w:rPr>
        <w:t>Analysis of HIV integration sites.</w:t>
      </w:r>
      <w:proofErr w:type="gramEnd"/>
      <w:r w:rsidR="00662BD0" w:rsidRPr="005918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62BD0" w:rsidRPr="0059187E">
        <w:rPr>
          <w:rFonts w:ascii="Times New Roman" w:hAnsi="Times New Roman" w:cs="Times New Roman"/>
          <w:sz w:val="24"/>
          <w:szCs w:val="24"/>
        </w:rPr>
        <w:t>Comparison of A. a new high throughput method suitable for robotic processing and B a published method [12] to analyse HIV integration sites.</w:t>
      </w:r>
      <w:proofErr w:type="gramEnd"/>
    </w:p>
    <w:p w:rsidR="000B562C" w:rsidRDefault="000B562C" w:rsidP="000B562C">
      <w:pPr>
        <w:suppressAutoHyphens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4986068" cy="3342258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99" cy="334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62C" w:rsidRPr="00EB7D54" w:rsidRDefault="00A907E6" w:rsidP="000B562C">
      <w:pPr>
        <w:suppressAutoHyphens w:val="0"/>
        <w:spacing w:line="48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662BD0" w:rsidRPr="0059187E">
        <w:rPr>
          <w:rFonts w:ascii="Times New Roman" w:hAnsi="Times New Roman" w:cs="Times New Roman"/>
          <w:b/>
          <w:sz w:val="24"/>
          <w:szCs w:val="24"/>
        </w:rPr>
        <w:t xml:space="preserve">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662BD0" w:rsidRPr="0059187E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="00662BD0" w:rsidRPr="00591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2BD0" w:rsidRPr="0059187E">
        <w:rPr>
          <w:rFonts w:ascii="Times New Roman" w:hAnsi="Times New Roman" w:cs="Times New Roman"/>
          <w:sz w:val="24"/>
          <w:szCs w:val="24"/>
        </w:rPr>
        <w:t>Schematic overview of analysis strategy used to define an integration site.</w:t>
      </w:r>
      <w:r w:rsidR="000B562C">
        <w:rPr>
          <w:b/>
          <w:sz w:val="24"/>
          <w:szCs w:val="24"/>
        </w:rPr>
        <w:t xml:space="preserve"> </w:t>
      </w:r>
      <w:r w:rsidR="000B562C" w:rsidRPr="004C4B51">
        <w:rPr>
          <w:sz w:val="24"/>
          <w:szCs w:val="24"/>
        </w:rPr>
        <w:t xml:space="preserve"> </w:t>
      </w:r>
    </w:p>
    <w:p w:rsidR="0025756C" w:rsidRDefault="0025756C" w:rsidP="0025756C">
      <w:pPr>
        <w:suppressAutoHyphens w:val="0"/>
        <w:rPr>
          <w:b/>
          <w:sz w:val="24"/>
          <w:szCs w:val="24"/>
          <w:shd w:val="clear" w:color="auto" w:fill="FFFFFF"/>
        </w:rPr>
      </w:pPr>
    </w:p>
    <w:p w:rsidR="008C6EA0" w:rsidRDefault="008C6EA0" w:rsidP="008C6EA0">
      <w:pPr>
        <w:suppressAutoHyphens w:val="0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T</w:t>
      </w:r>
      <w:r w:rsidRPr="004C4B51">
        <w:rPr>
          <w:b/>
          <w:sz w:val="24"/>
          <w:szCs w:val="24"/>
          <w:shd w:val="clear" w:color="auto" w:fill="FFFFFF"/>
        </w:rPr>
        <w:t xml:space="preserve">able </w:t>
      </w:r>
      <w:proofErr w:type="spellStart"/>
      <w:r w:rsidR="00A907E6">
        <w:rPr>
          <w:b/>
          <w:sz w:val="24"/>
          <w:szCs w:val="24"/>
          <w:shd w:val="clear" w:color="auto" w:fill="FFFFFF"/>
        </w:rPr>
        <w:t>S</w:t>
      </w:r>
      <w:r>
        <w:rPr>
          <w:b/>
          <w:sz w:val="24"/>
          <w:szCs w:val="24"/>
          <w:shd w:val="clear" w:color="auto" w:fill="FFFFFF"/>
        </w:rPr>
        <w:t>1</w:t>
      </w:r>
      <w:proofErr w:type="spellEnd"/>
      <w:r w:rsidRPr="004C4B51">
        <w:rPr>
          <w:b/>
          <w:sz w:val="24"/>
          <w:szCs w:val="24"/>
          <w:shd w:val="clear" w:color="auto" w:fill="FFFFFF"/>
        </w:rPr>
        <w:t>.</w:t>
      </w:r>
      <w:r w:rsidRPr="004C4B51">
        <w:rPr>
          <w:sz w:val="24"/>
          <w:szCs w:val="24"/>
          <w:shd w:val="clear" w:color="auto" w:fill="FFFFFF"/>
        </w:rPr>
        <w:t xml:space="preserve"> Linker sequence and primer sequence.</w:t>
      </w:r>
      <w:r>
        <w:rPr>
          <w:sz w:val="24"/>
          <w:szCs w:val="24"/>
          <w:shd w:val="clear" w:color="auto" w:fill="FFFFFF"/>
        </w:rPr>
        <w:t xml:space="preserve"> </w:t>
      </w:r>
    </w:p>
    <w:p w:rsidR="008C6EA0" w:rsidRDefault="008C6EA0" w:rsidP="008C6EA0">
      <w:pPr>
        <w:spacing w:line="480" w:lineRule="auto"/>
        <w:jc w:val="both"/>
        <w:rPr>
          <w:sz w:val="24"/>
          <w:szCs w:val="24"/>
          <w:shd w:val="clear" w:color="auto" w:fill="FFFFFF"/>
        </w:rPr>
      </w:pPr>
      <w:r w:rsidRPr="00E276AF">
        <w:rPr>
          <w:noProof/>
          <w:lang w:val="en-IN" w:eastAsia="en-IN"/>
        </w:rPr>
        <w:drawing>
          <wp:inline distT="0" distB="0" distL="0" distR="0">
            <wp:extent cx="5176300" cy="1110322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054" cy="11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EA0" w:rsidRPr="00DB543B" w:rsidRDefault="008C6EA0" w:rsidP="008C6EA0">
      <w:pPr>
        <w:spacing w:line="48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* indicates </w:t>
      </w:r>
      <w:proofErr w:type="spellStart"/>
      <w:r>
        <w:rPr>
          <w:sz w:val="24"/>
          <w:szCs w:val="24"/>
          <w:shd w:val="clear" w:color="auto" w:fill="FFFFFF"/>
        </w:rPr>
        <w:t>p</w:t>
      </w:r>
      <w:r w:rsidRPr="001F7C3C">
        <w:rPr>
          <w:sz w:val="24"/>
          <w:szCs w:val="24"/>
          <w:shd w:val="clear" w:color="auto" w:fill="FFFFFF"/>
        </w:rPr>
        <w:t>hosphorothioated</w:t>
      </w:r>
      <w:proofErr w:type="spellEnd"/>
      <w:r w:rsidRPr="001F7C3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nucleotide. MID is multiplex identifier sequence.</w:t>
      </w:r>
    </w:p>
    <w:p w:rsidR="0025756C" w:rsidRDefault="0025756C" w:rsidP="0025756C">
      <w:pPr>
        <w:suppressAutoHyphens w:val="0"/>
        <w:rPr>
          <w:b/>
          <w:sz w:val="24"/>
          <w:szCs w:val="24"/>
          <w:shd w:val="clear" w:color="auto" w:fill="FFFFFF"/>
        </w:rPr>
      </w:pPr>
    </w:p>
    <w:p w:rsidR="00F13A70" w:rsidRDefault="00A907E6"/>
    <w:sectPr w:rsidR="00F13A70" w:rsidSect="00F17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5756C"/>
    <w:rsid w:val="000B562C"/>
    <w:rsid w:val="001268EB"/>
    <w:rsid w:val="00205A95"/>
    <w:rsid w:val="0025756C"/>
    <w:rsid w:val="00662BD0"/>
    <w:rsid w:val="006E6BFE"/>
    <w:rsid w:val="008C6EA0"/>
    <w:rsid w:val="00A907E6"/>
    <w:rsid w:val="00AC589A"/>
    <w:rsid w:val="00E17F40"/>
    <w:rsid w:val="00EE2439"/>
    <w:rsid w:val="00F174C9"/>
    <w:rsid w:val="00F2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56C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 Symons</dc:creator>
  <cp:lastModifiedBy>0003937</cp:lastModifiedBy>
  <cp:revision>4</cp:revision>
  <dcterms:created xsi:type="dcterms:W3CDTF">2016-11-22T03:01:00Z</dcterms:created>
  <dcterms:modified xsi:type="dcterms:W3CDTF">2017-01-03T14:17:00Z</dcterms:modified>
</cp:coreProperties>
</file>