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1BB" w:rsidRPr="00642D9F" w:rsidRDefault="00A531BB" w:rsidP="00A531BB">
      <w:pPr>
        <w:rPr>
          <w:b/>
        </w:rPr>
      </w:pPr>
      <w:r>
        <w:rPr>
          <w:b/>
        </w:rPr>
        <w:t>Supplementary table 2. Estimated means with 95% confidence intervals per outcome</w:t>
      </w:r>
    </w:p>
    <w:tbl>
      <w:tblPr>
        <w:tblStyle w:val="TableGrid"/>
        <w:tblW w:w="0" w:type="auto"/>
        <w:tblLook w:val="04A0"/>
      </w:tblPr>
      <w:tblGrid>
        <w:gridCol w:w="2518"/>
        <w:gridCol w:w="1385"/>
        <w:gridCol w:w="1386"/>
        <w:gridCol w:w="1385"/>
        <w:gridCol w:w="1386"/>
        <w:gridCol w:w="1386"/>
      </w:tblGrid>
      <w:tr w:rsidR="00A531BB" w:rsidRPr="00262DC3" w:rsidTr="00A531BB">
        <w:tc>
          <w:tcPr>
            <w:tcW w:w="2518" w:type="dxa"/>
            <w:tcBorders>
              <w:bottom w:val="single" w:sz="4" w:space="0" w:color="auto"/>
              <w:right w:val="nil"/>
            </w:tcBorders>
          </w:tcPr>
          <w:p w:rsidR="00A531BB" w:rsidRPr="006D58C3" w:rsidRDefault="00A531BB" w:rsidP="00563D6E">
            <w:pPr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Baseline</w:t>
            </w:r>
          </w:p>
        </w:tc>
        <w:tc>
          <w:tcPr>
            <w:tcW w:w="138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Week 24</w:t>
            </w:r>
          </w:p>
        </w:tc>
        <w:tc>
          <w:tcPr>
            <w:tcW w:w="138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Week 48</w:t>
            </w:r>
          </w:p>
        </w:tc>
        <w:tc>
          <w:tcPr>
            <w:tcW w:w="138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Week 72</w:t>
            </w:r>
          </w:p>
        </w:tc>
        <w:tc>
          <w:tcPr>
            <w:tcW w:w="1386" w:type="dxa"/>
            <w:tcBorders>
              <w:left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b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b/>
                <w:color w:val="000000"/>
                <w:sz w:val="18"/>
                <w:szCs w:val="18"/>
              </w:rPr>
              <w:t>Week 96</w:t>
            </w:r>
          </w:p>
        </w:tc>
      </w:tr>
      <w:tr w:rsidR="00A531BB" w:rsidTr="00563D6E">
        <w:tc>
          <w:tcPr>
            <w:tcW w:w="2518" w:type="dxa"/>
            <w:tcBorders>
              <w:bottom w:val="nil"/>
            </w:tcBorders>
          </w:tcPr>
          <w:p w:rsidR="00A531BB" w:rsidRPr="00D60319" w:rsidRDefault="00A531BB" w:rsidP="00563D6E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Total-C (mmol/L)</w:t>
            </w:r>
          </w:p>
        </w:tc>
        <w:tc>
          <w:tcPr>
            <w:tcW w:w="1385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</w:tr>
      <w:tr w:rsidR="00A531BB" w:rsidTr="00563D6E">
        <w:tc>
          <w:tcPr>
            <w:tcW w:w="2518" w:type="dxa"/>
            <w:tcBorders>
              <w:top w:val="nil"/>
              <w:bottom w:val="nil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stavudine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3.93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(3.85 – 4.02)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4.54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(4.44 – 4.61)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4.89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(4.80 – 4.98)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5.03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(4.94 – 5.12)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4.94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(4.84 – 5.05)</w:t>
            </w:r>
          </w:p>
        </w:tc>
      </w:tr>
      <w:tr w:rsidR="00A531BB" w:rsidTr="00563D6E">
        <w:tc>
          <w:tcPr>
            <w:tcW w:w="2518" w:type="dxa"/>
            <w:tcBorders>
              <w:top w:val="nil"/>
              <w:bottom w:val="single" w:sz="4" w:space="0" w:color="auto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tenofovir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4.00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(3.92 – 4.08)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4.33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(4.25 – 4.42)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4.55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(4.46 – 4.63)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4.63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(4.54 – 4.72)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4.59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(4.49 – 4.69)</w:t>
            </w:r>
          </w:p>
        </w:tc>
      </w:tr>
      <w:tr w:rsidR="00A531BB" w:rsidTr="00563D6E">
        <w:tc>
          <w:tcPr>
            <w:tcW w:w="2518" w:type="dxa"/>
            <w:tcBorders>
              <w:bottom w:val="nil"/>
            </w:tcBorders>
          </w:tcPr>
          <w:p w:rsidR="00A531BB" w:rsidRPr="00D60319" w:rsidRDefault="00A531BB" w:rsidP="00563D6E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HDL-C (mmol/L)</w:t>
            </w:r>
          </w:p>
        </w:tc>
        <w:tc>
          <w:tcPr>
            <w:tcW w:w="1385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</w:tr>
      <w:tr w:rsidR="00A531BB" w:rsidTr="00563D6E">
        <w:tc>
          <w:tcPr>
            <w:tcW w:w="2518" w:type="dxa"/>
            <w:tcBorders>
              <w:top w:val="nil"/>
              <w:bottom w:val="nil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stavudine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1.00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0.96 – 1.04)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1.32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(1.29 – 1.36)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1.50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(1.46 – 1.54)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1.53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(1.49 – 1.57)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1.41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(1.36 – 1.46)</w:t>
            </w:r>
          </w:p>
        </w:tc>
      </w:tr>
      <w:tr w:rsidR="00A531BB" w:rsidTr="00563D6E">
        <w:tc>
          <w:tcPr>
            <w:tcW w:w="2518" w:type="dxa"/>
            <w:tcBorders>
              <w:top w:val="nil"/>
              <w:bottom w:val="single" w:sz="4" w:space="0" w:color="auto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tenofovir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0.98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(0.94 – 1.02)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1.18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(1.15 – 1.22)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1.32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(1.28 – 1.36)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1.38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(1.33 – 1.42)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1.37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(1.32 – 1.41)</w:t>
            </w:r>
          </w:p>
        </w:tc>
      </w:tr>
      <w:tr w:rsidR="00A531BB" w:rsidTr="00563D6E">
        <w:tc>
          <w:tcPr>
            <w:tcW w:w="2518" w:type="dxa"/>
            <w:tcBorders>
              <w:bottom w:val="nil"/>
            </w:tcBorders>
          </w:tcPr>
          <w:p w:rsidR="00A531BB" w:rsidRPr="00D60319" w:rsidRDefault="00A531BB" w:rsidP="00563D6E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LDL-C (mmol/L)</w:t>
            </w:r>
          </w:p>
        </w:tc>
        <w:tc>
          <w:tcPr>
            <w:tcW w:w="1385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</w:tr>
      <w:tr w:rsidR="00A531BB" w:rsidTr="00563D6E">
        <w:tc>
          <w:tcPr>
            <w:tcW w:w="2518" w:type="dxa"/>
            <w:tcBorders>
              <w:top w:val="nil"/>
              <w:bottom w:val="nil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stavudine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2.38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(2.31 – 2.45)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2.62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(2.55 – 2.70)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2.79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(2.71 – 2.87)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2.87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(2.78 – 2.95)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2.87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(2.78 – 2.96)</w:t>
            </w:r>
          </w:p>
        </w:tc>
      </w:tr>
      <w:tr w:rsidR="00A531BB" w:rsidTr="00563D6E">
        <w:tc>
          <w:tcPr>
            <w:tcW w:w="2518" w:type="dxa"/>
            <w:tcBorders>
              <w:top w:val="nil"/>
              <w:bottom w:val="single" w:sz="4" w:space="0" w:color="auto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tenofovir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2.45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(2.38 – 2.52)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2.57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(2.50 – 2.64)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2.65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(2.57 – 2.72)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2.68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(2.59 – 2.76)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2.67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(2.57 – 2.76)</w:t>
            </w:r>
          </w:p>
        </w:tc>
      </w:tr>
      <w:tr w:rsidR="00A531BB" w:rsidTr="00563D6E">
        <w:tc>
          <w:tcPr>
            <w:tcW w:w="2518" w:type="dxa"/>
            <w:tcBorders>
              <w:bottom w:val="nil"/>
            </w:tcBorders>
          </w:tcPr>
          <w:p w:rsidR="00A531BB" w:rsidRPr="00D60319" w:rsidRDefault="00A531BB" w:rsidP="00563D6E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TG (mmol/L)</w:t>
            </w:r>
          </w:p>
        </w:tc>
        <w:tc>
          <w:tcPr>
            <w:tcW w:w="1385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</w:tr>
      <w:tr w:rsidR="00A531BB" w:rsidTr="00563D6E">
        <w:tc>
          <w:tcPr>
            <w:tcW w:w="2518" w:type="dxa"/>
            <w:tcBorders>
              <w:top w:val="nil"/>
              <w:bottom w:val="nil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stavudine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1.11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(1.06 – 1.16)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1.18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(1.14 – 1.23)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1.26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(1.20 – 1.31)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1.32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(1.26 – 1.38)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1.37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(1.31 – 1.45)</w:t>
            </w:r>
          </w:p>
        </w:tc>
      </w:tr>
      <w:tr w:rsidR="00A531BB" w:rsidTr="00563D6E">
        <w:tc>
          <w:tcPr>
            <w:tcW w:w="2518" w:type="dxa"/>
            <w:tcBorders>
              <w:top w:val="nil"/>
              <w:bottom w:val="single" w:sz="4" w:space="0" w:color="auto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tenofovir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1.15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(1.10 – 1.20)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0.18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(1.14 – 1.23)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1.20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(1.15 – 1.25)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1.19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(1.14 – 1.24)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1.15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(1.10 – 1.21)</w:t>
            </w:r>
          </w:p>
        </w:tc>
      </w:tr>
      <w:tr w:rsidR="00A531BB" w:rsidTr="00563D6E">
        <w:tc>
          <w:tcPr>
            <w:tcW w:w="2518" w:type="dxa"/>
            <w:tcBorders>
              <w:bottom w:val="nil"/>
            </w:tcBorders>
          </w:tcPr>
          <w:p w:rsidR="00A531BB" w:rsidRPr="00D60319" w:rsidRDefault="00A531BB" w:rsidP="00563D6E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Glucose (mmol/L)</w:t>
            </w:r>
          </w:p>
        </w:tc>
        <w:tc>
          <w:tcPr>
            <w:tcW w:w="1385" w:type="dxa"/>
            <w:tcBorders>
              <w:bottom w:val="nil"/>
            </w:tcBorders>
          </w:tcPr>
          <w:p w:rsidR="00A531BB" w:rsidRPr="00D60319" w:rsidRDefault="00A531BB" w:rsidP="00563D6E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</w:tcPr>
          <w:p w:rsidR="00A531BB" w:rsidRPr="00D60319" w:rsidRDefault="00A531BB" w:rsidP="00563D6E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tcBorders>
              <w:bottom w:val="nil"/>
            </w:tcBorders>
          </w:tcPr>
          <w:p w:rsidR="00A531BB" w:rsidRPr="00D60319" w:rsidRDefault="00A531BB" w:rsidP="00563D6E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</w:tcPr>
          <w:p w:rsidR="00A531BB" w:rsidRPr="00D60319" w:rsidRDefault="00A531BB" w:rsidP="00563D6E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</w:tcPr>
          <w:p w:rsidR="00A531BB" w:rsidRPr="00D60319" w:rsidRDefault="00A531BB" w:rsidP="00563D6E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</w:tr>
      <w:tr w:rsidR="00A531BB" w:rsidTr="00563D6E">
        <w:tc>
          <w:tcPr>
            <w:tcW w:w="2518" w:type="dxa"/>
            <w:tcBorders>
              <w:top w:val="nil"/>
              <w:bottom w:val="nil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stavudine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4.59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(4.50 – 4.67)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4.90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(4.82 – 4.98)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5.09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(5.00 – 5.12)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5.15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(5.06 – 5.23)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5.08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(4.98 – 5.18)</w:t>
            </w:r>
          </w:p>
        </w:tc>
      </w:tr>
      <w:tr w:rsidR="00A531BB" w:rsidTr="00563D6E">
        <w:tc>
          <w:tcPr>
            <w:tcW w:w="2518" w:type="dxa"/>
            <w:tcBorders>
              <w:top w:val="nil"/>
              <w:bottom w:val="single" w:sz="4" w:space="0" w:color="auto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tenofovir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4.66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(4.58 – 4.75)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4.98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(4.90 – 5.05)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5.16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(5.08- 5.25)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5.23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(5.14 – 5.31)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5.16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(5.07 – 5.26)</w:t>
            </w:r>
          </w:p>
        </w:tc>
      </w:tr>
      <w:tr w:rsidR="00A531BB" w:rsidTr="00563D6E">
        <w:tc>
          <w:tcPr>
            <w:tcW w:w="2518" w:type="dxa"/>
            <w:tcBorders>
              <w:bottom w:val="nil"/>
            </w:tcBorders>
          </w:tcPr>
          <w:p w:rsidR="00A531BB" w:rsidRPr="00D60319" w:rsidRDefault="00A531BB" w:rsidP="00563D6E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Insulin (µmol/L)</w:t>
            </w:r>
          </w:p>
        </w:tc>
        <w:tc>
          <w:tcPr>
            <w:tcW w:w="1385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</w:tr>
      <w:tr w:rsidR="00A531BB" w:rsidTr="00563D6E">
        <w:tc>
          <w:tcPr>
            <w:tcW w:w="2518" w:type="dxa"/>
            <w:tcBorders>
              <w:top w:val="nil"/>
              <w:bottom w:val="nil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stavudine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47.48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(44.26 – 50.71)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49.80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(47.08 – 52.52)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52.40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(48.71 – 56.09)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55.24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(50.82 – 59.66)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58.37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(52.43 – 64.32)</w:t>
            </w:r>
          </w:p>
        </w:tc>
      </w:tr>
      <w:tr w:rsidR="00A531BB" w:rsidTr="00563D6E">
        <w:tc>
          <w:tcPr>
            <w:tcW w:w="2518" w:type="dxa"/>
            <w:tcBorders>
              <w:top w:val="nil"/>
              <w:bottom w:val="single" w:sz="4" w:space="0" w:color="auto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tenofovir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47.07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(43.88 – 50.27)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47.80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(45.14 – 50.46)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49.96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(46.33 – 53.59)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53.49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(49.17 – 57.81)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58.45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(52.71 – 64.19)</w:t>
            </w:r>
          </w:p>
        </w:tc>
      </w:tr>
      <w:tr w:rsidR="00A531BB" w:rsidTr="00563D6E">
        <w:tc>
          <w:tcPr>
            <w:tcW w:w="2518" w:type="dxa"/>
            <w:tcBorders>
              <w:bottom w:val="nil"/>
            </w:tcBorders>
          </w:tcPr>
          <w:p w:rsidR="00A531BB" w:rsidRPr="00D60319" w:rsidRDefault="00A531BB" w:rsidP="00563D6E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HOMA-IR</w:t>
            </w:r>
          </w:p>
        </w:tc>
        <w:tc>
          <w:tcPr>
            <w:tcW w:w="1385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</w:tr>
      <w:tr w:rsidR="00A531BB" w:rsidTr="00563D6E">
        <w:tc>
          <w:tcPr>
            <w:tcW w:w="2518" w:type="dxa"/>
            <w:tcBorders>
              <w:top w:val="nil"/>
              <w:bottom w:val="nil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stavudine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1.10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(1.03 – 1.16)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1.24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(1.18 – 1.30)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1.37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(1.29 – 1.45)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1.48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(1.39 – 1.56)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1.56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(1.46 – 1.66)</w:t>
            </w:r>
          </w:p>
        </w:tc>
      </w:tr>
      <w:tr w:rsidR="00A531BB" w:rsidTr="00563D6E">
        <w:tc>
          <w:tcPr>
            <w:tcW w:w="2518" w:type="dxa"/>
            <w:tcBorders>
              <w:top w:val="nil"/>
              <w:bottom w:val="single" w:sz="4" w:space="0" w:color="auto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tenofovir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1.09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(1.02 – 1.15)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1.18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(1.12 – 1.24)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1.27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(1.20 – 1.34)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1.35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(1.28 – 1.43)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1.43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(1.34 – 1.52)</w:t>
            </w:r>
          </w:p>
        </w:tc>
      </w:tr>
      <w:tr w:rsidR="00A531BB" w:rsidTr="00563D6E">
        <w:tc>
          <w:tcPr>
            <w:tcW w:w="2518" w:type="dxa"/>
            <w:tcBorders>
              <w:bottom w:val="nil"/>
            </w:tcBorders>
          </w:tcPr>
          <w:p w:rsidR="00A531BB" w:rsidRPr="00D60319" w:rsidRDefault="00A531BB" w:rsidP="00563D6E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Framingham risk score</w:t>
            </w:r>
          </w:p>
        </w:tc>
        <w:tc>
          <w:tcPr>
            <w:tcW w:w="1385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5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  <w:tc>
          <w:tcPr>
            <w:tcW w:w="1386" w:type="dxa"/>
            <w:tcBorders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</w:tc>
      </w:tr>
      <w:tr w:rsidR="00A531BB" w:rsidTr="00563D6E">
        <w:tc>
          <w:tcPr>
            <w:tcW w:w="2518" w:type="dxa"/>
            <w:tcBorders>
              <w:top w:val="nil"/>
              <w:bottom w:val="nil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stavudine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1.82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(1.73 – 1.92)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1.91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(1.82 – 2.01)</w:t>
            </w:r>
          </w:p>
        </w:tc>
        <w:tc>
          <w:tcPr>
            <w:tcW w:w="1385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1.99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(1.89 – 2.10)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2.06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(1.96 – 1.27)</w:t>
            </w:r>
          </w:p>
        </w:tc>
        <w:tc>
          <w:tcPr>
            <w:tcW w:w="1386" w:type="dxa"/>
            <w:tcBorders>
              <w:top w:val="nil"/>
              <w:bottom w:val="nil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2.11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(1.99 – 2.24)</w:t>
            </w:r>
          </w:p>
        </w:tc>
      </w:tr>
      <w:tr w:rsidR="00A531BB" w:rsidTr="00563D6E">
        <w:tc>
          <w:tcPr>
            <w:tcW w:w="2518" w:type="dxa"/>
            <w:tcBorders>
              <w:top w:val="nil"/>
              <w:bottom w:val="single" w:sz="4" w:space="0" w:color="auto"/>
            </w:tcBorders>
          </w:tcPr>
          <w:p w:rsidR="00A531BB" w:rsidRPr="00D60319" w:rsidRDefault="00A531BB" w:rsidP="00563D6E">
            <w:pPr>
              <w:jc w:val="right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tenofovir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2.00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(1.89 – 2.10)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1.96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(1.87 – 2.06)</w:t>
            </w:r>
          </w:p>
        </w:tc>
        <w:tc>
          <w:tcPr>
            <w:tcW w:w="1385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1.95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(1.85 – 2.05)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1.97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(1.87 – 2.07)</w:t>
            </w:r>
          </w:p>
        </w:tc>
        <w:tc>
          <w:tcPr>
            <w:tcW w:w="1386" w:type="dxa"/>
            <w:tcBorders>
              <w:top w:val="nil"/>
              <w:bottom w:val="single" w:sz="4" w:space="0" w:color="auto"/>
            </w:tcBorders>
            <w:vAlign w:val="center"/>
          </w:tcPr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2.01</w:t>
            </w:r>
          </w:p>
          <w:p w:rsidR="00A531BB" w:rsidRPr="00D60319" w:rsidRDefault="00A531BB" w:rsidP="00563D6E">
            <w:pPr>
              <w:jc w:val="center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60319">
              <w:rPr>
                <w:rFonts w:ascii="Segoe UI" w:hAnsi="Segoe UI" w:cs="Segoe UI"/>
                <w:color w:val="000000"/>
                <w:sz w:val="18"/>
                <w:szCs w:val="18"/>
              </w:rPr>
              <w:t>(1.90 – 2.13)</w:t>
            </w:r>
          </w:p>
        </w:tc>
      </w:tr>
      <w:tr w:rsidR="00A531BB" w:rsidTr="00563D6E">
        <w:tc>
          <w:tcPr>
            <w:tcW w:w="9446" w:type="dxa"/>
            <w:gridSpan w:val="6"/>
            <w:tcBorders>
              <w:top w:val="single" w:sz="4" w:space="0" w:color="auto"/>
            </w:tcBorders>
          </w:tcPr>
          <w:p w:rsidR="00A531BB" w:rsidRPr="00D60319" w:rsidRDefault="00A531BB" w:rsidP="00563D6E">
            <w:pPr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Total-C: total cholesterol, HDL-C: high density lipoprotein cholesterol, LDL-C: low density lipoprotein cholesterol, TG: triglycerides</w:t>
            </w:r>
          </w:p>
        </w:tc>
      </w:tr>
    </w:tbl>
    <w:p w:rsidR="00A531BB" w:rsidRPr="0083398D" w:rsidRDefault="00A531BB" w:rsidP="00A531BB">
      <w:pPr>
        <w:rPr>
          <w:rFonts w:ascii="Segoe UI" w:hAnsi="Segoe UI" w:cs="Segoe UI"/>
          <w:color w:val="000000"/>
          <w:sz w:val="20"/>
          <w:szCs w:val="20"/>
        </w:rPr>
      </w:pPr>
      <w:r>
        <w:rPr>
          <w:rFonts w:ascii="Segoe UI" w:hAnsi="Segoe UI" w:cs="Segoe UI"/>
          <w:color w:val="000000"/>
          <w:sz w:val="20"/>
          <w:szCs w:val="20"/>
          <w:u w:val="single"/>
        </w:rPr>
        <w:t>Note:</w:t>
      </w:r>
      <w:r w:rsidRPr="006D58C3">
        <w:rPr>
          <w:rFonts w:ascii="Segoe UI" w:hAnsi="Segoe UI" w:cs="Segoe UI"/>
          <w:color w:val="000000"/>
          <w:sz w:val="20"/>
          <w:szCs w:val="20"/>
        </w:rPr>
        <w:t xml:space="preserve"> </w:t>
      </w:r>
      <w:bookmarkStart w:id="0" w:name="_GoBack"/>
      <w:r>
        <w:t>This table presents estimates of the means for each treatment group at 4 follow-up measurements based on a linear mixed model with correction for age, sex, site of inclusion (South-Africa, Uganda or India), body mass index and viral load at baseline (see methods for details).</w:t>
      </w:r>
      <w:bookmarkEnd w:id="0"/>
      <w:r>
        <w:rPr>
          <w:rFonts w:ascii="Segoe UI" w:hAnsi="Segoe UI" w:cs="Segoe UI"/>
          <w:color w:val="000000"/>
          <w:sz w:val="20"/>
          <w:szCs w:val="20"/>
        </w:rPr>
        <w:br/>
      </w:r>
    </w:p>
    <w:p w:rsidR="00A56299" w:rsidRDefault="00A56299"/>
    <w:sectPr w:rsidR="00A56299" w:rsidSect="00F11B9C">
      <w:foot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B9C" w:rsidRDefault="00F11B9C" w:rsidP="00F11B9C">
      <w:pPr>
        <w:spacing w:after="0" w:line="240" w:lineRule="auto"/>
      </w:pPr>
      <w:r>
        <w:separator/>
      </w:r>
    </w:p>
  </w:endnote>
  <w:endnote w:type="continuationSeparator" w:id="0">
    <w:p w:rsidR="00F11B9C" w:rsidRDefault="00F11B9C" w:rsidP="00F11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8C4" w:rsidRDefault="00DA4FE6">
    <w:pPr>
      <w:pStyle w:val="Footer"/>
    </w:pPr>
  </w:p>
  <w:p w:rsidR="00B028C4" w:rsidRDefault="00DA4FE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B9C" w:rsidRDefault="00F11B9C" w:rsidP="00F11B9C">
      <w:pPr>
        <w:spacing w:after="0" w:line="240" w:lineRule="auto"/>
      </w:pPr>
      <w:r>
        <w:separator/>
      </w:r>
    </w:p>
  </w:footnote>
  <w:footnote w:type="continuationSeparator" w:id="0">
    <w:p w:rsidR="00F11B9C" w:rsidRDefault="00F11B9C" w:rsidP="00F11B9C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tthew Chersich">
    <w15:presenceInfo w15:providerId="AD" w15:userId="S-1-5-21-3863489222-3862667314-3109721810-3926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31BB"/>
    <w:rsid w:val="00000CD8"/>
    <w:rsid w:val="00000F51"/>
    <w:rsid w:val="00003D3D"/>
    <w:rsid w:val="000233EE"/>
    <w:rsid w:val="00032D70"/>
    <w:rsid w:val="00034E72"/>
    <w:rsid w:val="000350EA"/>
    <w:rsid w:val="00036C04"/>
    <w:rsid w:val="00046F5F"/>
    <w:rsid w:val="00067FBF"/>
    <w:rsid w:val="00096EC7"/>
    <w:rsid w:val="000B7584"/>
    <w:rsid w:val="000E1D45"/>
    <w:rsid w:val="000F04B7"/>
    <w:rsid w:val="000F6714"/>
    <w:rsid w:val="00102E01"/>
    <w:rsid w:val="00106389"/>
    <w:rsid w:val="00121436"/>
    <w:rsid w:val="00125A33"/>
    <w:rsid w:val="00143631"/>
    <w:rsid w:val="001820D1"/>
    <w:rsid w:val="00193D83"/>
    <w:rsid w:val="001B67C6"/>
    <w:rsid w:val="001B74FE"/>
    <w:rsid w:val="001C6C76"/>
    <w:rsid w:val="001D706F"/>
    <w:rsid w:val="001F654C"/>
    <w:rsid w:val="00200E17"/>
    <w:rsid w:val="0021401F"/>
    <w:rsid w:val="002161D9"/>
    <w:rsid w:val="00216203"/>
    <w:rsid w:val="0024195D"/>
    <w:rsid w:val="002439F7"/>
    <w:rsid w:val="0026056A"/>
    <w:rsid w:val="00261D9E"/>
    <w:rsid w:val="00264986"/>
    <w:rsid w:val="0026769D"/>
    <w:rsid w:val="00272F51"/>
    <w:rsid w:val="002751C3"/>
    <w:rsid w:val="002770D0"/>
    <w:rsid w:val="00280ABE"/>
    <w:rsid w:val="00281276"/>
    <w:rsid w:val="002A0519"/>
    <w:rsid w:val="002B4BC1"/>
    <w:rsid w:val="002C3015"/>
    <w:rsid w:val="002C6FA8"/>
    <w:rsid w:val="002D31E9"/>
    <w:rsid w:val="002D400B"/>
    <w:rsid w:val="002E532C"/>
    <w:rsid w:val="002F6281"/>
    <w:rsid w:val="003116F4"/>
    <w:rsid w:val="00317909"/>
    <w:rsid w:val="0032428C"/>
    <w:rsid w:val="003350BE"/>
    <w:rsid w:val="00340EE4"/>
    <w:rsid w:val="00340F31"/>
    <w:rsid w:val="003450C9"/>
    <w:rsid w:val="00347924"/>
    <w:rsid w:val="00365791"/>
    <w:rsid w:val="0038775B"/>
    <w:rsid w:val="003A7E5A"/>
    <w:rsid w:val="003B4A4F"/>
    <w:rsid w:val="003B55D6"/>
    <w:rsid w:val="003C06BD"/>
    <w:rsid w:val="003F21C8"/>
    <w:rsid w:val="003F3120"/>
    <w:rsid w:val="00406AE7"/>
    <w:rsid w:val="004078ED"/>
    <w:rsid w:val="00430022"/>
    <w:rsid w:val="004346C7"/>
    <w:rsid w:val="00440824"/>
    <w:rsid w:val="00442BC7"/>
    <w:rsid w:val="00455986"/>
    <w:rsid w:val="00467807"/>
    <w:rsid w:val="00474948"/>
    <w:rsid w:val="00490DFB"/>
    <w:rsid w:val="004A607E"/>
    <w:rsid w:val="004C3ADC"/>
    <w:rsid w:val="004C4D56"/>
    <w:rsid w:val="004C63F8"/>
    <w:rsid w:val="004D02C8"/>
    <w:rsid w:val="004D2D49"/>
    <w:rsid w:val="004E004E"/>
    <w:rsid w:val="00501817"/>
    <w:rsid w:val="005021DA"/>
    <w:rsid w:val="005172CE"/>
    <w:rsid w:val="0054497D"/>
    <w:rsid w:val="00571AC6"/>
    <w:rsid w:val="005A30CD"/>
    <w:rsid w:val="005C3491"/>
    <w:rsid w:val="005F6450"/>
    <w:rsid w:val="0060152A"/>
    <w:rsid w:val="00640A35"/>
    <w:rsid w:val="00641FC6"/>
    <w:rsid w:val="006563FB"/>
    <w:rsid w:val="00663A2B"/>
    <w:rsid w:val="00670B7B"/>
    <w:rsid w:val="006727FF"/>
    <w:rsid w:val="006820E3"/>
    <w:rsid w:val="006A406E"/>
    <w:rsid w:val="006B29BE"/>
    <w:rsid w:val="006B6CE0"/>
    <w:rsid w:val="006C138B"/>
    <w:rsid w:val="006C4465"/>
    <w:rsid w:val="006C6642"/>
    <w:rsid w:val="006E75B9"/>
    <w:rsid w:val="00705127"/>
    <w:rsid w:val="00724375"/>
    <w:rsid w:val="007420E5"/>
    <w:rsid w:val="00750C31"/>
    <w:rsid w:val="00765E4C"/>
    <w:rsid w:val="00766CC6"/>
    <w:rsid w:val="00766EAB"/>
    <w:rsid w:val="00767C26"/>
    <w:rsid w:val="007734B9"/>
    <w:rsid w:val="007747E8"/>
    <w:rsid w:val="0078194F"/>
    <w:rsid w:val="00782389"/>
    <w:rsid w:val="0079355B"/>
    <w:rsid w:val="007979BE"/>
    <w:rsid w:val="007A478F"/>
    <w:rsid w:val="007A570B"/>
    <w:rsid w:val="007B6343"/>
    <w:rsid w:val="007D3D92"/>
    <w:rsid w:val="007D57CE"/>
    <w:rsid w:val="007E0C8D"/>
    <w:rsid w:val="007E24B6"/>
    <w:rsid w:val="007F2AE0"/>
    <w:rsid w:val="00812B47"/>
    <w:rsid w:val="0082048A"/>
    <w:rsid w:val="00823F7D"/>
    <w:rsid w:val="008311ED"/>
    <w:rsid w:val="0083292D"/>
    <w:rsid w:val="00843C18"/>
    <w:rsid w:val="00850510"/>
    <w:rsid w:val="0086070A"/>
    <w:rsid w:val="00861507"/>
    <w:rsid w:val="00881A12"/>
    <w:rsid w:val="008A0FAA"/>
    <w:rsid w:val="008A4FA8"/>
    <w:rsid w:val="008B00FF"/>
    <w:rsid w:val="008B2AD3"/>
    <w:rsid w:val="008C629B"/>
    <w:rsid w:val="008D54D6"/>
    <w:rsid w:val="008D6C5C"/>
    <w:rsid w:val="008D766C"/>
    <w:rsid w:val="008E7801"/>
    <w:rsid w:val="008F597D"/>
    <w:rsid w:val="008F6977"/>
    <w:rsid w:val="0090162B"/>
    <w:rsid w:val="009067E9"/>
    <w:rsid w:val="00914A74"/>
    <w:rsid w:val="00935B15"/>
    <w:rsid w:val="00937619"/>
    <w:rsid w:val="00945963"/>
    <w:rsid w:val="0097117E"/>
    <w:rsid w:val="00976BDD"/>
    <w:rsid w:val="009921FC"/>
    <w:rsid w:val="00992377"/>
    <w:rsid w:val="00994555"/>
    <w:rsid w:val="00996331"/>
    <w:rsid w:val="009A34E6"/>
    <w:rsid w:val="009B503D"/>
    <w:rsid w:val="009C15DD"/>
    <w:rsid w:val="009E4BD8"/>
    <w:rsid w:val="00A00002"/>
    <w:rsid w:val="00A03795"/>
    <w:rsid w:val="00A20D45"/>
    <w:rsid w:val="00A21917"/>
    <w:rsid w:val="00A5279F"/>
    <w:rsid w:val="00A52D72"/>
    <w:rsid w:val="00A531BB"/>
    <w:rsid w:val="00A553BD"/>
    <w:rsid w:val="00A56299"/>
    <w:rsid w:val="00A80E54"/>
    <w:rsid w:val="00A943BE"/>
    <w:rsid w:val="00AA6C1E"/>
    <w:rsid w:val="00AB602C"/>
    <w:rsid w:val="00AC4E6D"/>
    <w:rsid w:val="00AE46F4"/>
    <w:rsid w:val="00AE6675"/>
    <w:rsid w:val="00AE6AED"/>
    <w:rsid w:val="00B1084B"/>
    <w:rsid w:val="00B16C06"/>
    <w:rsid w:val="00B22A8D"/>
    <w:rsid w:val="00B530C8"/>
    <w:rsid w:val="00B7222E"/>
    <w:rsid w:val="00B734C3"/>
    <w:rsid w:val="00B826ED"/>
    <w:rsid w:val="00BA0B4B"/>
    <w:rsid w:val="00BB126D"/>
    <w:rsid w:val="00BB7669"/>
    <w:rsid w:val="00BC2971"/>
    <w:rsid w:val="00BC7AE3"/>
    <w:rsid w:val="00BE6F58"/>
    <w:rsid w:val="00BE7021"/>
    <w:rsid w:val="00C03D61"/>
    <w:rsid w:val="00C216BD"/>
    <w:rsid w:val="00C31831"/>
    <w:rsid w:val="00C328EB"/>
    <w:rsid w:val="00C52643"/>
    <w:rsid w:val="00C55F60"/>
    <w:rsid w:val="00C65C4E"/>
    <w:rsid w:val="00C84803"/>
    <w:rsid w:val="00C92A5B"/>
    <w:rsid w:val="00C94E65"/>
    <w:rsid w:val="00CA513B"/>
    <w:rsid w:val="00CA6008"/>
    <w:rsid w:val="00CD441A"/>
    <w:rsid w:val="00CF527B"/>
    <w:rsid w:val="00CF592A"/>
    <w:rsid w:val="00D147D4"/>
    <w:rsid w:val="00D22263"/>
    <w:rsid w:val="00D22E86"/>
    <w:rsid w:val="00D34248"/>
    <w:rsid w:val="00D508A8"/>
    <w:rsid w:val="00D80800"/>
    <w:rsid w:val="00D9313C"/>
    <w:rsid w:val="00D935A0"/>
    <w:rsid w:val="00DA28BE"/>
    <w:rsid w:val="00DA4FE6"/>
    <w:rsid w:val="00DB3791"/>
    <w:rsid w:val="00DC6D0B"/>
    <w:rsid w:val="00DD340D"/>
    <w:rsid w:val="00DD479F"/>
    <w:rsid w:val="00DE4668"/>
    <w:rsid w:val="00E02784"/>
    <w:rsid w:val="00E35F45"/>
    <w:rsid w:val="00E37B47"/>
    <w:rsid w:val="00E562EC"/>
    <w:rsid w:val="00E633E8"/>
    <w:rsid w:val="00E6527D"/>
    <w:rsid w:val="00E67389"/>
    <w:rsid w:val="00E7542D"/>
    <w:rsid w:val="00E87156"/>
    <w:rsid w:val="00E9762D"/>
    <w:rsid w:val="00EA42B0"/>
    <w:rsid w:val="00EB2D25"/>
    <w:rsid w:val="00EB440D"/>
    <w:rsid w:val="00EB55A6"/>
    <w:rsid w:val="00EC16D3"/>
    <w:rsid w:val="00ED2FB3"/>
    <w:rsid w:val="00EE0FC3"/>
    <w:rsid w:val="00EE361E"/>
    <w:rsid w:val="00EF3D33"/>
    <w:rsid w:val="00F000B8"/>
    <w:rsid w:val="00F11B9C"/>
    <w:rsid w:val="00F134AA"/>
    <w:rsid w:val="00F24108"/>
    <w:rsid w:val="00F52673"/>
    <w:rsid w:val="00F52DEB"/>
    <w:rsid w:val="00F604C5"/>
    <w:rsid w:val="00F93A34"/>
    <w:rsid w:val="00FA3D7A"/>
    <w:rsid w:val="00FB38C6"/>
    <w:rsid w:val="00FC4A54"/>
    <w:rsid w:val="00FE1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1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31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A53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1BB"/>
  </w:style>
  <w:style w:type="paragraph" w:styleId="Header">
    <w:name w:val="header"/>
    <w:basedOn w:val="Normal"/>
    <w:link w:val="HeaderChar"/>
    <w:uiPriority w:val="99"/>
    <w:semiHidden/>
    <w:unhideWhenUsed/>
    <w:rsid w:val="00DA4F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A4F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0010757</cp:lastModifiedBy>
  <cp:revision>2</cp:revision>
  <dcterms:created xsi:type="dcterms:W3CDTF">2018-11-01T11:15:00Z</dcterms:created>
  <dcterms:modified xsi:type="dcterms:W3CDTF">2018-12-10T09:52:00Z</dcterms:modified>
</cp:coreProperties>
</file>