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AACDA" w14:textId="72BDC65A" w:rsidR="00523877" w:rsidRPr="00AE590C" w:rsidRDefault="004F251C" w:rsidP="00A81A66">
      <w:pPr>
        <w:spacing w:after="0" w:line="480" w:lineRule="auto"/>
        <w:ind w:hanging="1134"/>
        <w:jc w:val="both"/>
        <w:rPr>
          <w:rFonts w:ascii="Times New Roman" w:eastAsia="Times New Roman" w:hAnsi="Times New Roman" w:cs="Times New Roman"/>
          <w:b/>
          <w:bCs/>
          <w:sz w:val="28"/>
          <w:szCs w:val="28"/>
          <w:lang w:eastAsia="fr-FR"/>
        </w:rPr>
      </w:pPr>
      <w:r w:rsidRPr="00AE590C">
        <w:rPr>
          <w:rFonts w:ascii="Times New Roman" w:eastAsia="Times New Roman" w:hAnsi="Times New Roman" w:cs="Times New Roman"/>
          <w:b/>
          <w:bCs/>
          <w:sz w:val="28"/>
          <w:szCs w:val="28"/>
          <w:lang w:eastAsia="fr-FR"/>
        </w:rPr>
        <w:t xml:space="preserve"> Supplemental Figure S1</w:t>
      </w:r>
    </w:p>
    <w:p w14:paraId="39A682F8" w14:textId="4A5165EF" w:rsidR="00AE590C" w:rsidRPr="00A81A66" w:rsidRDefault="00A81A66" w:rsidP="00A81A66">
      <w:pPr>
        <w:spacing w:after="0" w:line="480" w:lineRule="auto"/>
        <w:ind w:hanging="1134"/>
        <w:jc w:val="both"/>
        <w:rPr>
          <w:rFonts w:eastAsia="Times New Roman" w:cstheme="minorHAnsi"/>
          <w:b/>
          <w:sz w:val="28"/>
          <w:szCs w:val="28"/>
          <w:lang w:eastAsia="fr-FR"/>
        </w:rPr>
      </w:pPr>
      <w:r w:rsidRPr="00A81A66">
        <w:rPr>
          <w:rFonts w:cstheme="minorHAnsi"/>
          <w:noProof/>
          <w:sz w:val="28"/>
          <w:szCs w:val="28"/>
        </w:rPr>
        <w:drawing>
          <wp:anchor distT="0" distB="0" distL="114300" distR="114300" simplePos="0" relativeHeight="251660288" behindDoc="0" locked="0" layoutInCell="1" allowOverlap="1" wp14:anchorId="2A8C34D3" wp14:editId="3A87DE5D">
            <wp:simplePos x="0" y="0"/>
            <wp:positionH relativeFrom="column">
              <wp:posOffset>-666750</wp:posOffset>
            </wp:positionH>
            <wp:positionV relativeFrom="paragraph">
              <wp:posOffset>336550</wp:posOffset>
            </wp:positionV>
            <wp:extent cx="7177405" cy="1798320"/>
            <wp:effectExtent l="0" t="0" r="4445" b="0"/>
            <wp:wrapSquare wrapText="bothSides"/>
            <wp:docPr id="189805448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77405" cy="1798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590C" w:rsidRPr="00A81A66">
        <w:rPr>
          <w:rFonts w:eastAsia="Times New Roman" w:cstheme="minorHAnsi"/>
          <w:b/>
          <w:sz w:val="28"/>
          <w:szCs w:val="28"/>
          <w:lang w:eastAsia="fr-FR"/>
        </w:rPr>
        <w:t xml:space="preserve">A. </w:t>
      </w:r>
    </w:p>
    <w:p w14:paraId="10B6875D" w14:textId="11CDE160" w:rsidR="00A81A66" w:rsidRPr="007709FC" w:rsidRDefault="007709FC" w:rsidP="007709FC">
      <w:pPr>
        <w:spacing w:after="0" w:line="480" w:lineRule="auto"/>
        <w:ind w:hanging="1134"/>
        <w:jc w:val="both"/>
        <w:rPr>
          <w:rFonts w:ascii="Times New Roman" w:eastAsia="Times New Roman" w:hAnsi="Times New Roman" w:cs="Times New Roman"/>
          <w:b/>
          <w:sz w:val="20"/>
          <w:szCs w:val="20"/>
          <w:lang w:eastAsia="fr-FR"/>
        </w:rPr>
      </w:pPr>
      <w:r w:rsidRPr="007709FC">
        <w:rPr>
          <w:rFonts w:ascii="Times New Roman" w:eastAsia="Times New Roman" w:hAnsi="Times New Roman" w:cs="Times New Roman"/>
          <w:b/>
          <w:sz w:val="20"/>
          <w:szCs w:val="20"/>
          <w:lang w:eastAsia="fr-FR"/>
        </w:rPr>
        <w:t xml:space="preserve">* </w:t>
      </w:r>
      <w:r w:rsidRPr="007709FC">
        <w:rPr>
          <w:rFonts w:ascii="Times New Roman" w:eastAsia="Times New Roman" w:hAnsi="Times New Roman" w:cs="Times New Roman"/>
          <w:bCs/>
          <w:sz w:val="20"/>
          <w:szCs w:val="20"/>
          <w:lang w:eastAsia="fr-FR"/>
        </w:rPr>
        <w:t>Sequence also used in</w:t>
      </w:r>
      <w:r>
        <w:rPr>
          <w:rFonts w:ascii="Times New Roman" w:eastAsia="Times New Roman" w:hAnsi="Times New Roman" w:cs="Times New Roman"/>
          <w:bCs/>
          <w:sz w:val="20"/>
          <w:szCs w:val="20"/>
          <w:lang w:eastAsia="fr-FR"/>
        </w:rPr>
        <w:t xml:space="preserve"> Capoferri </w:t>
      </w:r>
      <w:r w:rsidRPr="007709FC">
        <w:rPr>
          <w:rFonts w:ascii="Times New Roman" w:eastAsia="Times New Roman" w:hAnsi="Times New Roman" w:cs="Times New Roman"/>
          <w:bCs/>
          <w:i/>
          <w:iCs/>
          <w:sz w:val="20"/>
          <w:szCs w:val="20"/>
          <w:lang w:eastAsia="fr-FR"/>
        </w:rPr>
        <w:t>et al</w:t>
      </w:r>
      <w:r>
        <w:rPr>
          <w:rFonts w:ascii="Times New Roman" w:eastAsia="Times New Roman" w:hAnsi="Times New Roman" w:cs="Times New Roman"/>
          <w:bCs/>
          <w:sz w:val="20"/>
          <w:szCs w:val="20"/>
          <w:lang w:eastAsia="fr-FR"/>
        </w:rPr>
        <w:t>., 2025</w:t>
      </w:r>
      <w:r w:rsidRPr="007709FC">
        <w:rPr>
          <w:rFonts w:ascii="Times New Roman" w:eastAsia="Times New Roman" w:hAnsi="Times New Roman" w:cs="Times New Roman"/>
          <w:bCs/>
          <w:sz w:val="20"/>
          <w:szCs w:val="20"/>
          <w:lang w:eastAsia="fr-FR"/>
        </w:rPr>
        <w:t xml:space="preserve"> [24]</w:t>
      </w:r>
    </w:p>
    <w:p w14:paraId="23F29BA7" w14:textId="617E0968" w:rsidR="00A81A66" w:rsidRPr="00A81A66" w:rsidRDefault="00A81A66" w:rsidP="00A81A66">
      <w:pPr>
        <w:spacing w:after="0" w:line="480" w:lineRule="auto"/>
        <w:ind w:hanging="1134"/>
        <w:jc w:val="both"/>
        <w:rPr>
          <w:rFonts w:eastAsia="Times New Roman" w:cstheme="minorHAnsi"/>
          <w:b/>
          <w:sz w:val="28"/>
          <w:szCs w:val="28"/>
          <w:lang w:eastAsia="fr-FR"/>
        </w:rPr>
      </w:pPr>
      <w:r w:rsidRPr="00A81A66">
        <w:rPr>
          <w:rFonts w:cstheme="minorHAnsi"/>
          <w:noProof/>
          <w:sz w:val="28"/>
          <w:szCs w:val="28"/>
        </w:rPr>
        <w:drawing>
          <wp:anchor distT="0" distB="0" distL="114300" distR="114300" simplePos="0" relativeHeight="251661312" behindDoc="0" locked="0" layoutInCell="1" allowOverlap="1" wp14:anchorId="25E741CC" wp14:editId="672A91D3">
            <wp:simplePos x="0" y="0"/>
            <wp:positionH relativeFrom="column">
              <wp:posOffset>-659765</wp:posOffset>
            </wp:positionH>
            <wp:positionV relativeFrom="paragraph">
              <wp:posOffset>265430</wp:posOffset>
            </wp:positionV>
            <wp:extent cx="6813550" cy="1795145"/>
            <wp:effectExtent l="0" t="0" r="6350" b="0"/>
            <wp:wrapSquare wrapText="bothSides"/>
            <wp:docPr id="3210394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13550" cy="1795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81A66">
        <w:rPr>
          <w:rFonts w:eastAsia="Times New Roman" w:cstheme="minorHAnsi"/>
          <w:b/>
          <w:sz w:val="28"/>
          <w:szCs w:val="28"/>
          <w:lang w:eastAsia="fr-FR"/>
        </w:rPr>
        <w:t xml:space="preserve">B. </w:t>
      </w:r>
    </w:p>
    <w:p w14:paraId="66F0816F" w14:textId="77777777" w:rsidR="00A81A66" w:rsidRDefault="00A81A66" w:rsidP="00523877">
      <w:pPr>
        <w:spacing w:after="0" w:line="480" w:lineRule="auto"/>
        <w:jc w:val="both"/>
        <w:rPr>
          <w:rFonts w:ascii="Times New Roman" w:eastAsia="Times New Roman" w:hAnsi="Times New Roman" w:cs="Times New Roman"/>
          <w:b/>
          <w:bCs/>
          <w:sz w:val="24"/>
          <w:szCs w:val="24"/>
          <w:lang w:eastAsia="fr-FR"/>
        </w:rPr>
      </w:pPr>
    </w:p>
    <w:p w14:paraId="776E647A" w14:textId="77777777" w:rsidR="00A81A66" w:rsidRDefault="00A81A66" w:rsidP="00523877">
      <w:pPr>
        <w:spacing w:after="0" w:line="480" w:lineRule="auto"/>
        <w:jc w:val="both"/>
        <w:rPr>
          <w:rFonts w:ascii="Times New Roman" w:eastAsia="Times New Roman" w:hAnsi="Times New Roman" w:cs="Times New Roman"/>
          <w:b/>
          <w:bCs/>
          <w:sz w:val="24"/>
          <w:szCs w:val="24"/>
          <w:lang w:eastAsia="fr-FR"/>
        </w:rPr>
      </w:pPr>
    </w:p>
    <w:p w14:paraId="0CDE1B43" w14:textId="28144F74" w:rsidR="00523877" w:rsidRPr="005B2AB8" w:rsidRDefault="00C423DA" w:rsidP="00A81A66">
      <w:pPr>
        <w:spacing w:after="0" w:line="480" w:lineRule="auto"/>
        <w:ind w:left="-993"/>
        <w:jc w:val="both"/>
        <w:rPr>
          <w:rFonts w:ascii="Times New Roman" w:eastAsia="Times New Roman" w:hAnsi="Times New Roman" w:cs="Times New Roman"/>
          <w:bCs/>
          <w:sz w:val="24"/>
          <w:szCs w:val="24"/>
          <w:lang w:eastAsia="fr-FR"/>
        </w:rPr>
      </w:pPr>
      <w:r w:rsidRPr="005B2AB8">
        <w:rPr>
          <w:rFonts w:ascii="Times New Roman" w:eastAsia="Times New Roman" w:hAnsi="Times New Roman" w:cs="Times New Roman"/>
          <w:b/>
          <w:bCs/>
          <w:sz w:val="24"/>
          <w:szCs w:val="24"/>
          <w:lang w:eastAsia="fr-FR"/>
        </w:rPr>
        <w:t>Fig. S1:</w:t>
      </w:r>
      <w:r w:rsidRPr="005B2AB8">
        <w:rPr>
          <w:rFonts w:ascii="Times New Roman" w:eastAsia="Times New Roman" w:hAnsi="Times New Roman" w:cs="Times New Roman"/>
          <w:bCs/>
          <w:sz w:val="24"/>
          <w:szCs w:val="24"/>
          <w:lang w:eastAsia="fr-FR"/>
        </w:rPr>
        <w:t xml:space="preserve"> </w:t>
      </w:r>
      <w:r w:rsidR="00523877" w:rsidRPr="005B2AB8">
        <w:rPr>
          <w:rFonts w:ascii="Times New Roman" w:eastAsia="Times New Roman" w:hAnsi="Times New Roman" w:cs="Times New Roman"/>
          <w:b/>
          <w:sz w:val="24"/>
          <w:szCs w:val="24"/>
          <w:lang w:eastAsia="fr-FR"/>
        </w:rPr>
        <w:t>Analysis of conservation among the B and CRF02/06 subtypes of primers and probes used in previous studies</w:t>
      </w:r>
      <w:r w:rsidR="00523877" w:rsidRPr="005B2AB8">
        <w:rPr>
          <w:rFonts w:ascii="Times New Roman" w:eastAsia="Times New Roman" w:hAnsi="Times New Roman" w:cs="Times New Roman"/>
          <w:bCs/>
          <w:sz w:val="24"/>
          <w:szCs w:val="24"/>
          <w:lang w:eastAsia="fr-FR"/>
        </w:rPr>
        <w:t>.</w:t>
      </w:r>
      <w:r w:rsidR="00523877" w:rsidRPr="005B2AB8">
        <w:rPr>
          <w:rFonts w:ascii="Times New Roman" w:eastAsia="Times New Roman" w:hAnsi="Times New Roman" w:cs="Times New Roman"/>
          <w:b/>
          <w:bCs/>
          <w:sz w:val="24"/>
          <w:szCs w:val="24"/>
          <w:lang w:eastAsia="fr-FR"/>
        </w:rPr>
        <w:t xml:space="preserve"> </w:t>
      </w:r>
      <w:r w:rsidR="005B2AB8">
        <w:rPr>
          <w:rFonts w:ascii="Times New Roman" w:eastAsia="Times New Roman" w:hAnsi="Times New Roman" w:cs="Times New Roman"/>
          <w:bCs/>
          <w:sz w:val="24"/>
          <w:szCs w:val="24"/>
          <w:lang w:eastAsia="fr-FR"/>
        </w:rPr>
        <w:t>T</w:t>
      </w:r>
      <w:r w:rsidR="00523877" w:rsidRPr="005B2AB8">
        <w:rPr>
          <w:rFonts w:ascii="Times New Roman" w:eastAsia="Times New Roman" w:hAnsi="Times New Roman" w:cs="Times New Roman"/>
          <w:bCs/>
          <w:sz w:val="24"/>
          <w:szCs w:val="24"/>
          <w:lang w:eastAsia="fr-FR"/>
        </w:rPr>
        <w:t>he conservation of each primer and probe position used in (</w:t>
      </w:r>
      <w:r w:rsidR="00523877" w:rsidRPr="005B2AB8">
        <w:rPr>
          <w:rFonts w:ascii="Times New Roman" w:eastAsia="Times New Roman" w:hAnsi="Times New Roman" w:cs="Times New Roman"/>
          <w:b/>
          <w:bCs/>
          <w:sz w:val="24"/>
          <w:szCs w:val="24"/>
          <w:lang w:eastAsia="fr-FR"/>
        </w:rPr>
        <w:t>A</w:t>
      </w:r>
      <w:r w:rsidR="00523877" w:rsidRPr="005B2AB8">
        <w:rPr>
          <w:rFonts w:ascii="Times New Roman" w:eastAsia="Times New Roman" w:hAnsi="Times New Roman" w:cs="Times New Roman"/>
          <w:bCs/>
          <w:sz w:val="24"/>
          <w:szCs w:val="24"/>
          <w:lang w:eastAsia="fr-FR"/>
        </w:rPr>
        <w:t xml:space="preserve">) Zapata </w:t>
      </w:r>
      <w:r w:rsidR="00523877" w:rsidRPr="005B2AB8">
        <w:rPr>
          <w:rFonts w:ascii="Times New Roman" w:eastAsia="Times New Roman" w:hAnsi="Times New Roman" w:cs="Times New Roman"/>
          <w:bCs/>
          <w:i/>
          <w:sz w:val="24"/>
          <w:szCs w:val="24"/>
          <w:lang w:eastAsia="fr-FR"/>
        </w:rPr>
        <w:t>et al</w:t>
      </w:r>
      <w:r w:rsidR="00523877" w:rsidRPr="005B2AB8">
        <w:rPr>
          <w:rFonts w:ascii="Times New Roman" w:eastAsia="Times New Roman" w:hAnsi="Times New Roman" w:cs="Times New Roman"/>
          <w:bCs/>
          <w:sz w:val="24"/>
          <w:szCs w:val="24"/>
          <w:lang w:eastAsia="fr-FR"/>
        </w:rPr>
        <w:t xml:space="preserve">. 2017 </w:t>
      </w:r>
      <w:r w:rsidR="00D52EF9">
        <w:rPr>
          <w:rFonts w:ascii="Times New Roman" w:eastAsia="Times New Roman" w:hAnsi="Times New Roman" w:cs="Times New Roman"/>
          <w:bCs/>
          <w:sz w:val="24"/>
          <w:szCs w:val="24"/>
          <w:lang w:eastAsia="fr-FR"/>
        </w:rPr>
        <w:t>[</w:t>
      </w:r>
      <w:r w:rsidR="00AE590C">
        <w:rPr>
          <w:rFonts w:ascii="Times New Roman" w:eastAsia="Times New Roman" w:hAnsi="Times New Roman" w:cs="Times New Roman"/>
          <w:bCs/>
          <w:sz w:val="24"/>
          <w:szCs w:val="24"/>
          <w:lang w:eastAsia="fr-FR"/>
        </w:rPr>
        <w:t>15</w:t>
      </w:r>
      <w:r w:rsidR="00D52EF9">
        <w:rPr>
          <w:rFonts w:ascii="Times New Roman" w:eastAsia="Times New Roman" w:hAnsi="Times New Roman" w:cs="Times New Roman"/>
          <w:bCs/>
          <w:sz w:val="24"/>
          <w:szCs w:val="24"/>
          <w:lang w:eastAsia="fr-FR"/>
        </w:rPr>
        <w:t>]</w:t>
      </w:r>
      <w:r w:rsidR="00AE590C">
        <w:rPr>
          <w:rFonts w:ascii="Times New Roman" w:eastAsia="Times New Roman" w:hAnsi="Times New Roman" w:cs="Times New Roman"/>
          <w:bCs/>
          <w:sz w:val="24"/>
          <w:szCs w:val="24"/>
          <w:lang w:eastAsia="fr-FR"/>
        </w:rPr>
        <w:t xml:space="preserve"> </w:t>
      </w:r>
      <w:r w:rsidR="00523877" w:rsidRPr="005B2AB8">
        <w:rPr>
          <w:rFonts w:ascii="Times New Roman" w:eastAsia="Times New Roman" w:hAnsi="Times New Roman" w:cs="Times New Roman"/>
          <w:bCs/>
          <w:sz w:val="24"/>
          <w:szCs w:val="24"/>
          <w:lang w:eastAsia="fr-FR"/>
        </w:rPr>
        <w:t>and (</w:t>
      </w:r>
      <w:r w:rsidR="00523877" w:rsidRPr="005B2AB8">
        <w:rPr>
          <w:rFonts w:ascii="Times New Roman" w:eastAsia="Times New Roman" w:hAnsi="Times New Roman" w:cs="Times New Roman"/>
          <w:b/>
          <w:bCs/>
          <w:sz w:val="24"/>
          <w:szCs w:val="24"/>
          <w:lang w:eastAsia="fr-FR"/>
        </w:rPr>
        <w:t>B</w:t>
      </w:r>
      <w:r w:rsidR="00523877" w:rsidRPr="005B2AB8">
        <w:rPr>
          <w:rFonts w:ascii="Times New Roman" w:eastAsia="Times New Roman" w:hAnsi="Times New Roman" w:cs="Times New Roman"/>
          <w:bCs/>
          <w:sz w:val="24"/>
          <w:szCs w:val="24"/>
          <w:lang w:eastAsia="fr-FR"/>
        </w:rPr>
        <w:t xml:space="preserve">) Kobayashi-Ishihara </w:t>
      </w:r>
      <w:r w:rsidR="00523877" w:rsidRPr="005B2AB8">
        <w:rPr>
          <w:rFonts w:ascii="Times New Roman" w:eastAsia="Times New Roman" w:hAnsi="Times New Roman" w:cs="Times New Roman"/>
          <w:bCs/>
          <w:i/>
          <w:sz w:val="24"/>
          <w:szCs w:val="24"/>
          <w:lang w:eastAsia="fr-FR"/>
        </w:rPr>
        <w:t>et al</w:t>
      </w:r>
      <w:r w:rsidR="00523877" w:rsidRPr="005B2AB8">
        <w:rPr>
          <w:rFonts w:ascii="Times New Roman" w:eastAsia="Times New Roman" w:hAnsi="Times New Roman" w:cs="Times New Roman"/>
          <w:bCs/>
          <w:sz w:val="24"/>
          <w:szCs w:val="24"/>
          <w:lang w:eastAsia="fr-FR"/>
        </w:rPr>
        <w:t xml:space="preserve">. 2012 </w:t>
      </w:r>
      <w:r w:rsidR="00D52EF9">
        <w:rPr>
          <w:rFonts w:ascii="Times New Roman" w:eastAsia="Times New Roman" w:hAnsi="Times New Roman" w:cs="Times New Roman"/>
          <w:bCs/>
          <w:sz w:val="24"/>
          <w:szCs w:val="24"/>
          <w:lang w:eastAsia="fr-FR"/>
        </w:rPr>
        <w:t>[</w:t>
      </w:r>
      <w:r w:rsidR="00AE590C">
        <w:rPr>
          <w:rFonts w:ascii="Times New Roman" w:eastAsia="Times New Roman" w:hAnsi="Times New Roman" w:cs="Times New Roman"/>
          <w:bCs/>
          <w:sz w:val="24"/>
          <w:szCs w:val="24"/>
          <w:lang w:eastAsia="fr-FR"/>
        </w:rPr>
        <w:t>17</w:t>
      </w:r>
      <w:r w:rsidR="00D52EF9">
        <w:rPr>
          <w:rFonts w:ascii="Times New Roman" w:eastAsia="Times New Roman" w:hAnsi="Times New Roman" w:cs="Times New Roman"/>
          <w:bCs/>
          <w:sz w:val="24"/>
          <w:szCs w:val="24"/>
          <w:lang w:eastAsia="fr-FR"/>
        </w:rPr>
        <w:t>]</w:t>
      </w:r>
      <w:r w:rsidR="00523877" w:rsidRPr="005B2AB8">
        <w:rPr>
          <w:rFonts w:ascii="Times New Roman" w:eastAsia="Times New Roman" w:hAnsi="Times New Roman" w:cs="Times New Roman"/>
          <w:bCs/>
          <w:sz w:val="24"/>
          <w:szCs w:val="24"/>
          <w:lang w:eastAsia="fr-FR"/>
        </w:rPr>
        <w:t xml:space="preserve"> </w:t>
      </w:r>
      <w:r w:rsidR="005B2AB8">
        <w:rPr>
          <w:rFonts w:ascii="Times New Roman" w:eastAsia="Times New Roman" w:hAnsi="Times New Roman" w:cs="Times New Roman"/>
          <w:bCs/>
          <w:sz w:val="24"/>
          <w:szCs w:val="24"/>
          <w:lang w:eastAsia="fr-FR"/>
        </w:rPr>
        <w:t xml:space="preserve">was assessed </w:t>
      </w:r>
      <w:r w:rsidR="00523877" w:rsidRPr="005B2AB8">
        <w:rPr>
          <w:rFonts w:ascii="Times New Roman" w:eastAsia="Times New Roman" w:hAnsi="Times New Roman" w:cs="Times New Roman"/>
          <w:bCs/>
          <w:sz w:val="24"/>
          <w:szCs w:val="24"/>
          <w:lang w:eastAsia="fr-FR"/>
        </w:rPr>
        <w:t>using the 2021 HIV Compendium among 1,504 B and 133 CRF-02+CRF-06 sequences.</w:t>
      </w:r>
      <w:r w:rsidRPr="005B2AB8">
        <w:rPr>
          <w:rFonts w:ascii="Times New Roman" w:eastAsia="Times New Roman" w:hAnsi="Times New Roman" w:cs="Times New Roman"/>
          <w:bCs/>
          <w:sz w:val="24"/>
          <w:szCs w:val="24"/>
          <w:lang w:eastAsia="fr-FR"/>
        </w:rPr>
        <w:t xml:space="preserve"> Positions with a degree of variability lower than </w:t>
      </w:r>
      <w:r w:rsidR="007A19C7" w:rsidRPr="005B2AB8">
        <w:rPr>
          <w:rFonts w:ascii="Times New Roman" w:eastAsia="Times New Roman" w:hAnsi="Times New Roman" w:cs="Times New Roman"/>
          <w:bCs/>
          <w:sz w:val="24"/>
          <w:szCs w:val="24"/>
          <w:lang w:eastAsia="fr-FR"/>
        </w:rPr>
        <w:t>8</w:t>
      </w:r>
      <w:r w:rsidRPr="005B2AB8">
        <w:rPr>
          <w:rFonts w:ascii="Times New Roman" w:eastAsia="Times New Roman" w:hAnsi="Times New Roman" w:cs="Times New Roman"/>
          <w:bCs/>
          <w:sz w:val="24"/>
          <w:szCs w:val="24"/>
          <w:lang w:eastAsia="fr-FR"/>
        </w:rPr>
        <w:t>0% are</w:t>
      </w:r>
      <w:r w:rsidR="007A19C7" w:rsidRPr="005B2AB8">
        <w:rPr>
          <w:rFonts w:ascii="Times New Roman" w:eastAsia="Times New Roman" w:hAnsi="Times New Roman" w:cs="Times New Roman"/>
          <w:bCs/>
          <w:sz w:val="24"/>
          <w:szCs w:val="24"/>
          <w:lang w:eastAsia="fr-FR"/>
        </w:rPr>
        <w:t xml:space="preserve"> indicated </w:t>
      </w:r>
      <w:r w:rsidRPr="005B2AB8">
        <w:rPr>
          <w:rFonts w:ascii="Times New Roman" w:eastAsia="Times New Roman" w:hAnsi="Times New Roman" w:cs="Times New Roman"/>
          <w:bCs/>
          <w:sz w:val="24"/>
          <w:szCs w:val="24"/>
          <w:lang w:eastAsia="fr-FR"/>
        </w:rPr>
        <w:t>in red.</w:t>
      </w:r>
    </w:p>
    <w:p w14:paraId="3FC87EF4" w14:textId="77777777" w:rsidR="00523877" w:rsidRPr="005B2AB8" w:rsidRDefault="00523877" w:rsidP="00523877">
      <w:pPr>
        <w:spacing w:after="0" w:line="480" w:lineRule="auto"/>
        <w:jc w:val="both"/>
        <w:rPr>
          <w:rFonts w:ascii="Times New Roman" w:eastAsia="Times New Roman" w:hAnsi="Times New Roman" w:cs="Times New Roman"/>
          <w:b/>
          <w:bCs/>
          <w:sz w:val="24"/>
          <w:szCs w:val="24"/>
          <w:lang w:eastAsia="fr-FR"/>
        </w:rPr>
      </w:pPr>
    </w:p>
    <w:p w14:paraId="09BB3787" w14:textId="77777777" w:rsidR="00523877" w:rsidRDefault="00523877" w:rsidP="00523877">
      <w:pPr>
        <w:spacing w:after="0" w:line="480" w:lineRule="auto"/>
        <w:jc w:val="both"/>
        <w:rPr>
          <w:rFonts w:ascii="Times New Roman" w:eastAsia="Times New Roman" w:hAnsi="Times New Roman" w:cs="Times New Roman"/>
          <w:b/>
          <w:bCs/>
          <w:sz w:val="24"/>
          <w:szCs w:val="24"/>
          <w:u w:val="single"/>
          <w:lang w:eastAsia="fr-FR"/>
        </w:rPr>
      </w:pPr>
    </w:p>
    <w:p w14:paraId="6E4DE432" w14:textId="77777777" w:rsidR="00523877" w:rsidRDefault="00523877" w:rsidP="00523877">
      <w:pPr>
        <w:spacing w:after="0" w:line="480" w:lineRule="auto"/>
        <w:jc w:val="both"/>
        <w:rPr>
          <w:rFonts w:ascii="Times New Roman" w:eastAsia="Times New Roman" w:hAnsi="Times New Roman" w:cs="Times New Roman"/>
          <w:b/>
          <w:bCs/>
          <w:sz w:val="24"/>
          <w:szCs w:val="24"/>
          <w:u w:val="single"/>
          <w:lang w:eastAsia="fr-FR"/>
        </w:rPr>
      </w:pPr>
    </w:p>
    <w:p w14:paraId="6A475FC3" w14:textId="3C0175A4" w:rsidR="0003626A" w:rsidRPr="0003626A" w:rsidRDefault="0003626A" w:rsidP="0003626A">
      <w:pPr>
        <w:spacing w:after="0" w:line="480" w:lineRule="auto"/>
        <w:jc w:val="both"/>
        <w:rPr>
          <w:rFonts w:ascii="Times New Roman" w:eastAsia="Times New Roman" w:hAnsi="Times New Roman" w:cs="Times New Roman"/>
          <w:bCs/>
          <w:sz w:val="24"/>
          <w:szCs w:val="24"/>
          <w:u w:val="single"/>
          <w:lang w:eastAsia="fr-FR"/>
        </w:rPr>
      </w:pPr>
      <w:r>
        <w:rPr>
          <w:rFonts w:ascii="Times New Roman" w:eastAsia="Times New Roman" w:hAnsi="Times New Roman" w:cs="Times New Roman"/>
          <w:b/>
          <w:bCs/>
          <w:noProof/>
          <w:sz w:val="24"/>
          <w:szCs w:val="24"/>
          <w:u w:val="single"/>
          <w:lang w:eastAsia="fr-FR"/>
        </w:rPr>
        <w:lastRenderedPageBreak/>
        <w:drawing>
          <wp:anchor distT="0" distB="0" distL="114300" distR="114300" simplePos="0" relativeHeight="251659264" behindDoc="0" locked="0" layoutInCell="1" allowOverlap="1" wp14:anchorId="5D18BE9C" wp14:editId="1F0AF59D">
            <wp:simplePos x="0" y="0"/>
            <wp:positionH relativeFrom="margin">
              <wp:align>center</wp:align>
            </wp:positionH>
            <wp:positionV relativeFrom="paragraph">
              <wp:posOffset>558165</wp:posOffset>
            </wp:positionV>
            <wp:extent cx="6038850" cy="5617845"/>
            <wp:effectExtent l="0" t="0" r="0" b="1905"/>
            <wp:wrapSquare wrapText="bothSides"/>
            <wp:docPr id="73273169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8850" cy="5617845"/>
                    </a:xfrm>
                    <a:prstGeom prst="rect">
                      <a:avLst/>
                    </a:prstGeom>
                    <a:noFill/>
                  </pic:spPr>
                </pic:pic>
              </a:graphicData>
            </a:graphic>
            <wp14:sizeRelH relativeFrom="margin">
              <wp14:pctWidth>0</wp14:pctWidth>
            </wp14:sizeRelH>
            <wp14:sizeRelV relativeFrom="margin">
              <wp14:pctHeight>0</wp14:pctHeight>
            </wp14:sizeRelV>
          </wp:anchor>
        </w:drawing>
      </w:r>
      <w:r w:rsidR="004F251C">
        <w:rPr>
          <w:rFonts w:ascii="Times New Roman" w:eastAsia="Times New Roman" w:hAnsi="Times New Roman" w:cs="Times New Roman"/>
          <w:b/>
          <w:bCs/>
          <w:sz w:val="28"/>
          <w:szCs w:val="28"/>
          <w:u w:val="single"/>
          <w:lang w:eastAsia="fr-FR"/>
        </w:rPr>
        <w:t>Supplemental Figure S2</w:t>
      </w:r>
    </w:p>
    <w:p w14:paraId="4010BA4D" w14:textId="7D0821B1" w:rsidR="0003626A" w:rsidRDefault="0003626A" w:rsidP="0003626A">
      <w:pPr>
        <w:spacing w:after="0" w:line="480" w:lineRule="auto"/>
        <w:jc w:val="both"/>
        <w:rPr>
          <w:rFonts w:ascii="Times New Roman" w:eastAsia="Times New Roman" w:hAnsi="Times New Roman" w:cs="Times New Roman"/>
          <w:b/>
          <w:bCs/>
          <w:sz w:val="24"/>
          <w:szCs w:val="24"/>
          <w:u w:val="single"/>
          <w:lang w:eastAsia="fr-FR"/>
        </w:rPr>
      </w:pPr>
    </w:p>
    <w:p w14:paraId="2791F1EE" w14:textId="77777777" w:rsidR="0003626A" w:rsidRPr="0003626A" w:rsidRDefault="0003626A" w:rsidP="0003626A">
      <w:pPr>
        <w:spacing w:after="0" w:line="480" w:lineRule="auto"/>
        <w:jc w:val="both"/>
        <w:rPr>
          <w:rFonts w:ascii="Times New Roman" w:eastAsia="Times New Roman" w:hAnsi="Times New Roman" w:cs="Times New Roman"/>
          <w:b/>
          <w:sz w:val="24"/>
          <w:szCs w:val="24"/>
          <w:lang w:eastAsia="fr-FR"/>
        </w:rPr>
      </w:pPr>
      <w:r w:rsidRPr="0003626A">
        <w:rPr>
          <w:rFonts w:ascii="Times New Roman" w:eastAsia="Times New Roman" w:hAnsi="Times New Roman" w:cs="Times New Roman"/>
          <w:b/>
          <w:sz w:val="24"/>
          <w:szCs w:val="24"/>
          <w:lang w:eastAsia="fr-FR"/>
        </w:rPr>
        <w:t xml:space="preserve">Fig. S2: Intra-assay variability of the two </w:t>
      </w:r>
      <w:proofErr w:type="spellStart"/>
      <w:r w:rsidRPr="0003626A">
        <w:rPr>
          <w:rFonts w:ascii="Times New Roman" w:eastAsia="Times New Roman" w:hAnsi="Times New Roman" w:cs="Times New Roman"/>
          <w:b/>
          <w:sz w:val="24"/>
          <w:szCs w:val="24"/>
          <w:lang w:eastAsia="fr-FR"/>
        </w:rPr>
        <w:t>RTqPCR</w:t>
      </w:r>
      <w:proofErr w:type="spellEnd"/>
      <w:r w:rsidRPr="0003626A">
        <w:rPr>
          <w:rFonts w:ascii="Times New Roman" w:eastAsia="Times New Roman" w:hAnsi="Times New Roman" w:cs="Times New Roman"/>
          <w:b/>
          <w:sz w:val="24"/>
          <w:szCs w:val="24"/>
          <w:lang w:eastAsia="fr-FR"/>
        </w:rPr>
        <w:t xml:space="preserve">. </w:t>
      </w:r>
    </w:p>
    <w:p w14:paraId="6ABF35EB" w14:textId="64A41A8B" w:rsidR="0003626A" w:rsidRPr="0003626A" w:rsidRDefault="0003626A" w:rsidP="0003626A">
      <w:pPr>
        <w:spacing w:after="0" w:line="480" w:lineRule="auto"/>
        <w:jc w:val="both"/>
        <w:rPr>
          <w:rFonts w:ascii="Times New Roman" w:eastAsia="Times New Roman" w:hAnsi="Times New Roman" w:cs="Times New Roman"/>
          <w:b/>
          <w:bCs/>
          <w:sz w:val="24"/>
          <w:szCs w:val="24"/>
          <w:lang w:eastAsia="fr-FR"/>
        </w:rPr>
      </w:pPr>
      <w:r>
        <w:rPr>
          <w:rFonts w:ascii="Times New Roman" w:eastAsia="Times New Roman" w:hAnsi="Times New Roman" w:cs="Times New Roman"/>
          <w:bCs/>
          <w:sz w:val="24"/>
          <w:szCs w:val="24"/>
          <w:lang w:eastAsia="fr-FR"/>
        </w:rPr>
        <w:t xml:space="preserve">Intra-assay variability was </w:t>
      </w:r>
      <w:r w:rsidRPr="0003626A">
        <w:rPr>
          <w:rFonts w:ascii="Times New Roman" w:eastAsia="Times New Roman" w:hAnsi="Times New Roman" w:cs="Times New Roman"/>
          <w:bCs/>
          <w:sz w:val="24"/>
          <w:szCs w:val="24"/>
          <w:lang w:eastAsia="fr-FR"/>
        </w:rPr>
        <w:t>assessed by 10 parallel quantifications in duplicates of the same dilutions of the dsDNA corresponding to the sense or antisense amplicons. The right tables show the mean Ct values as well as the standard deviation and coefficients of variation for each number of copies.</w:t>
      </w:r>
    </w:p>
    <w:p w14:paraId="712372A2" w14:textId="0BA4E5C1" w:rsidR="00523877" w:rsidRDefault="00523877" w:rsidP="00523877">
      <w:pPr>
        <w:spacing w:after="0" w:line="480" w:lineRule="auto"/>
        <w:jc w:val="both"/>
        <w:rPr>
          <w:rFonts w:ascii="Times New Roman" w:eastAsia="Times New Roman" w:hAnsi="Times New Roman" w:cs="Times New Roman"/>
          <w:b/>
          <w:bCs/>
          <w:sz w:val="24"/>
          <w:szCs w:val="24"/>
          <w:u w:val="single"/>
          <w:lang w:eastAsia="fr-FR"/>
        </w:rPr>
      </w:pPr>
    </w:p>
    <w:sectPr w:rsidR="00523877" w:rsidSect="00E959EB">
      <w:footerReference w:type="default" r:id="rId10"/>
      <w:pgSz w:w="11906" w:h="16838"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C0F39" w14:textId="77777777" w:rsidR="00893E2D" w:rsidRDefault="00893E2D">
      <w:pPr>
        <w:spacing w:after="0" w:line="240" w:lineRule="auto"/>
      </w:pPr>
      <w:r>
        <w:separator/>
      </w:r>
    </w:p>
  </w:endnote>
  <w:endnote w:type="continuationSeparator" w:id="0">
    <w:p w14:paraId="4BE598AD" w14:textId="77777777" w:rsidR="00893E2D" w:rsidRDefault="00893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2097561"/>
      <w:docPartObj>
        <w:docPartGallery w:val="Page Numbers (Bottom of Page)"/>
        <w:docPartUnique/>
      </w:docPartObj>
    </w:sdtPr>
    <w:sdtContent>
      <w:p w14:paraId="6B80F7E1" w14:textId="77777777" w:rsidR="00AB7EB9" w:rsidRPr="007404F9" w:rsidRDefault="00C423DA">
        <w:pPr>
          <w:pStyle w:val="Pieddepage"/>
          <w:jc w:val="center"/>
        </w:pPr>
        <w:r w:rsidRPr="007404F9">
          <w:fldChar w:fldCharType="begin"/>
        </w:r>
        <w:r w:rsidRPr="007404F9">
          <w:instrText>PAGE   \* MERGEFORMAT</w:instrText>
        </w:r>
        <w:r w:rsidRPr="007404F9">
          <w:fldChar w:fldCharType="separate"/>
        </w:r>
        <w:r>
          <w:rPr>
            <w:noProof/>
          </w:rPr>
          <w:t>25</w:t>
        </w:r>
        <w:r w:rsidRPr="007404F9">
          <w:fldChar w:fldCharType="end"/>
        </w:r>
      </w:p>
    </w:sdtContent>
  </w:sdt>
  <w:p w14:paraId="4DB275DD" w14:textId="77777777" w:rsidR="00AB7EB9" w:rsidRPr="007404F9" w:rsidRDefault="00AB7EB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A1BC9" w14:textId="77777777" w:rsidR="00893E2D" w:rsidRDefault="00893E2D">
      <w:pPr>
        <w:spacing w:after="0" w:line="240" w:lineRule="auto"/>
      </w:pPr>
      <w:r>
        <w:separator/>
      </w:r>
    </w:p>
  </w:footnote>
  <w:footnote w:type="continuationSeparator" w:id="0">
    <w:p w14:paraId="5B85648F" w14:textId="77777777" w:rsidR="00893E2D" w:rsidRDefault="00893E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959C0"/>
    <w:multiLevelType w:val="hybridMultilevel"/>
    <w:tmpl w:val="0F1892F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37B569C"/>
    <w:multiLevelType w:val="hybridMultilevel"/>
    <w:tmpl w:val="852A35B4"/>
    <w:lvl w:ilvl="0" w:tplc="B8842804">
      <w:start w:val="1"/>
      <w:numFmt w:val="upp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3CFE0C83"/>
    <w:multiLevelType w:val="hybridMultilevel"/>
    <w:tmpl w:val="1390FBA8"/>
    <w:lvl w:ilvl="0" w:tplc="DB56011E">
      <w:start w:val="1"/>
      <w:numFmt w:val="upperLetter"/>
      <w:lvlText w:val="%1."/>
      <w:lvlJc w:val="left"/>
      <w:pPr>
        <w:ind w:left="720" w:hanging="360"/>
      </w:pPr>
      <w:rPr>
        <w:rFonts w:hint="default"/>
        <w:b/>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2951BF0"/>
    <w:multiLevelType w:val="hybridMultilevel"/>
    <w:tmpl w:val="70CA6698"/>
    <w:lvl w:ilvl="0" w:tplc="040C0015">
      <w:start w:val="1"/>
      <w:numFmt w:val="upperLetter"/>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704066909">
    <w:abstractNumId w:val="2"/>
  </w:num>
  <w:num w:numId="2" w16cid:durableId="2067291077">
    <w:abstractNumId w:val="1"/>
  </w:num>
  <w:num w:numId="3" w16cid:durableId="193276350">
    <w:abstractNumId w:val="0"/>
  </w:num>
  <w:num w:numId="4" w16cid:durableId="18622803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877"/>
    <w:rsid w:val="0003626A"/>
    <w:rsid w:val="000E0E91"/>
    <w:rsid w:val="003E70D1"/>
    <w:rsid w:val="0049228D"/>
    <w:rsid w:val="004F251C"/>
    <w:rsid w:val="00523877"/>
    <w:rsid w:val="00545151"/>
    <w:rsid w:val="005B2AB8"/>
    <w:rsid w:val="007709FC"/>
    <w:rsid w:val="007A19C7"/>
    <w:rsid w:val="00893E2D"/>
    <w:rsid w:val="00950333"/>
    <w:rsid w:val="00970B43"/>
    <w:rsid w:val="009E4AD5"/>
    <w:rsid w:val="00A81A66"/>
    <w:rsid w:val="00AB7EB9"/>
    <w:rsid w:val="00AE590C"/>
    <w:rsid w:val="00AE6A1B"/>
    <w:rsid w:val="00BC37E7"/>
    <w:rsid w:val="00C423DA"/>
    <w:rsid w:val="00D52EF9"/>
    <w:rsid w:val="00DF7EEB"/>
    <w:rsid w:val="00F910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C8C3F"/>
  <w15:chartTrackingRefBased/>
  <w15:docId w15:val="{B158B0C3-2899-459D-8E52-DEBF3F38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877"/>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52387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23877"/>
    <w:rPr>
      <w:lang w:val="en-US"/>
    </w:rPr>
  </w:style>
  <w:style w:type="paragraph" w:styleId="Paragraphedeliste">
    <w:name w:val="List Paragraph"/>
    <w:basedOn w:val="Normal"/>
    <w:uiPriority w:val="34"/>
    <w:qFormat/>
    <w:rsid w:val="00AE59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135</Words>
  <Characters>748</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Claudine Pique</dc:creator>
  <cp:keywords/>
  <dc:description/>
  <cp:lastModifiedBy>Claudine Pique</cp:lastModifiedBy>
  <cp:revision>3</cp:revision>
  <dcterms:created xsi:type="dcterms:W3CDTF">2025-10-30T09:00:00Z</dcterms:created>
  <dcterms:modified xsi:type="dcterms:W3CDTF">2025-10-30T10:35:00Z</dcterms:modified>
</cp:coreProperties>
</file>