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95EB76" w14:textId="3D0ED591" w:rsidR="00DF145B" w:rsidRPr="004F0BD3" w:rsidRDefault="00862CE0" w:rsidP="008F5BE5">
      <w:pPr>
        <w:pStyle w:val="Heading1"/>
      </w:pPr>
      <w:r w:rsidRPr="004F0BD3">
        <w:t xml:space="preserve">Table </w:t>
      </w:r>
      <w:r w:rsidR="00B053C4">
        <w:t>S</w:t>
      </w:r>
      <w:r w:rsidRPr="004F0BD3">
        <w:t xml:space="preserve">1: </w:t>
      </w:r>
      <w:r w:rsidR="00D570FB" w:rsidRPr="00D570FB">
        <w:t xml:space="preserve">Person centered objectives and their definitions, adapted from </w:t>
      </w:r>
      <w:proofErr w:type="spellStart"/>
      <w:r w:rsidR="00D570FB" w:rsidRPr="00D570FB">
        <w:t>Sudhinaraset</w:t>
      </w:r>
      <w:proofErr w:type="spellEnd"/>
      <w:r w:rsidR="00D570FB" w:rsidRPr="00D570FB">
        <w:t xml:space="preserve"> et al (2017)</w:t>
      </w:r>
      <w:bookmarkStart w:id="0" w:name="_GoBack"/>
      <w:bookmarkEnd w:id="0"/>
    </w:p>
    <w:p w14:paraId="42EA86F9" w14:textId="77777777" w:rsidR="001C4858" w:rsidRDefault="001C4858">
      <w:pPr>
        <w:rPr>
          <w:sz w:val="24"/>
          <w:szCs w:val="24"/>
        </w:rPr>
      </w:pPr>
    </w:p>
    <w:tbl>
      <w:tblPr>
        <w:tblStyle w:val="TableGrid"/>
        <w:tblW w:w="0" w:type="auto"/>
        <w:tblLook w:val="04A0" w:firstRow="1" w:lastRow="0" w:firstColumn="1" w:lastColumn="0" w:noHBand="0" w:noVBand="1"/>
      </w:tblPr>
      <w:tblGrid>
        <w:gridCol w:w="7308"/>
        <w:gridCol w:w="7308"/>
      </w:tblGrid>
      <w:tr w:rsidR="00862CE0" w14:paraId="5C84B3C6" w14:textId="77777777" w:rsidTr="00862CE0">
        <w:tc>
          <w:tcPr>
            <w:tcW w:w="7308" w:type="dxa"/>
          </w:tcPr>
          <w:p w14:paraId="3F085C20" w14:textId="60FE2E38" w:rsidR="00862CE0" w:rsidRPr="00F75591" w:rsidRDefault="00862CE0">
            <w:pPr>
              <w:rPr>
                <w:sz w:val="22"/>
                <w:szCs w:val="22"/>
              </w:rPr>
            </w:pPr>
            <w:r w:rsidRPr="00F75591">
              <w:rPr>
                <w:sz w:val="22"/>
                <w:szCs w:val="22"/>
              </w:rPr>
              <w:t>Dignity</w:t>
            </w:r>
          </w:p>
        </w:tc>
        <w:tc>
          <w:tcPr>
            <w:tcW w:w="7308" w:type="dxa"/>
          </w:tcPr>
          <w:p w14:paraId="3EC3118A" w14:textId="318F36C1" w:rsidR="00862CE0" w:rsidRPr="00F75591" w:rsidRDefault="00F75591" w:rsidP="00862CE0">
            <w:pPr>
              <w:tabs>
                <w:tab w:val="clear" w:pos="510"/>
                <w:tab w:val="clear" w:pos="1411"/>
              </w:tabs>
              <w:rPr>
                <w:sz w:val="22"/>
                <w:szCs w:val="22"/>
              </w:rPr>
            </w:pPr>
            <w:r w:rsidRPr="00F75591">
              <w:rPr>
                <w:sz w:val="22"/>
                <w:szCs w:val="22"/>
              </w:rPr>
              <w:t xml:space="preserve">Dignity refers to the ability of women to receive care in a respectful and caring setting. It captures the typologies of physical and verbal abuse from the literature on mistreatment of women during </w:t>
            </w:r>
            <w:proofErr w:type="spellStart"/>
            <w:r w:rsidRPr="00F75591">
              <w:rPr>
                <w:sz w:val="22"/>
                <w:szCs w:val="22"/>
              </w:rPr>
              <w:t>labor</w:t>
            </w:r>
            <w:proofErr w:type="spellEnd"/>
            <w:r w:rsidRPr="00F75591">
              <w:rPr>
                <w:sz w:val="22"/>
                <w:szCs w:val="22"/>
              </w:rPr>
              <w:t xml:space="preserve"> and delivery, as well as receipt of care in a timely manner.</w:t>
            </w:r>
          </w:p>
        </w:tc>
      </w:tr>
      <w:tr w:rsidR="00862CE0" w14:paraId="729D4937" w14:textId="77777777" w:rsidTr="00862CE0">
        <w:tc>
          <w:tcPr>
            <w:tcW w:w="7308" w:type="dxa"/>
          </w:tcPr>
          <w:p w14:paraId="69F18832" w14:textId="62FBCD9E" w:rsidR="00862CE0" w:rsidRPr="00F75591" w:rsidRDefault="00862CE0">
            <w:pPr>
              <w:rPr>
                <w:sz w:val="22"/>
                <w:szCs w:val="22"/>
              </w:rPr>
            </w:pPr>
            <w:r w:rsidRPr="00F75591">
              <w:rPr>
                <w:sz w:val="22"/>
                <w:szCs w:val="22"/>
              </w:rPr>
              <w:t>Autonomy</w:t>
            </w:r>
          </w:p>
        </w:tc>
        <w:tc>
          <w:tcPr>
            <w:tcW w:w="7308" w:type="dxa"/>
          </w:tcPr>
          <w:p w14:paraId="7202DB20" w14:textId="6F9CE86A" w:rsidR="00862CE0" w:rsidRPr="00F75591" w:rsidRDefault="00F75591">
            <w:pPr>
              <w:rPr>
                <w:sz w:val="22"/>
                <w:szCs w:val="22"/>
              </w:rPr>
            </w:pPr>
            <w:r w:rsidRPr="00F75591">
              <w:rPr>
                <w:sz w:val="22"/>
                <w:szCs w:val="22"/>
              </w:rPr>
              <w:t>Autonomy refers to respecting women’s views of what is appropriate care and allowing her to make informed choices. This includes providing consented care. An example of a measure for autonomy is whether women feel involved in decision-making about their care and whether their permission is sought before treatments.</w:t>
            </w:r>
          </w:p>
        </w:tc>
      </w:tr>
      <w:tr w:rsidR="00862CE0" w14:paraId="47E6E1F6" w14:textId="77777777" w:rsidTr="00862CE0">
        <w:tc>
          <w:tcPr>
            <w:tcW w:w="7308" w:type="dxa"/>
          </w:tcPr>
          <w:p w14:paraId="170EC715" w14:textId="4EFA19C6" w:rsidR="00862CE0" w:rsidRPr="00F75591" w:rsidRDefault="00862CE0">
            <w:pPr>
              <w:rPr>
                <w:sz w:val="22"/>
                <w:szCs w:val="22"/>
              </w:rPr>
            </w:pPr>
            <w:r w:rsidRPr="00F75591">
              <w:rPr>
                <w:sz w:val="22"/>
                <w:szCs w:val="22"/>
              </w:rPr>
              <w:t>Privacy/Confidentiality</w:t>
            </w:r>
          </w:p>
        </w:tc>
        <w:tc>
          <w:tcPr>
            <w:tcW w:w="7308" w:type="dxa"/>
          </w:tcPr>
          <w:p w14:paraId="2CF82D19" w14:textId="52C64D74" w:rsidR="00862CE0" w:rsidRPr="00F75591" w:rsidRDefault="00862CE0" w:rsidP="00862CE0">
            <w:pPr>
              <w:tabs>
                <w:tab w:val="clear" w:pos="510"/>
                <w:tab w:val="left" w:pos="63"/>
              </w:tabs>
              <w:rPr>
                <w:sz w:val="22"/>
                <w:szCs w:val="22"/>
              </w:rPr>
            </w:pPr>
            <w:r w:rsidRPr="00F75591">
              <w:rPr>
                <w:sz w:val="22"/>
                <w:szCs w:val="22"/>
              </w:rPr>
              <w:t xml:space="preserve">Privacy/Confidentiality </w:t>
            </w:r>
            <w:proofErr w:type="gramStart"/>
            <w:r w:rsidRPr="00F75591">
              <w:rPr>
                <w:sz w:val="22"/>
                <w:szCs w:val="22"/>
              </w:rPr>
              <w:t>concern</w:t>
            </w:r>
            <w:proofErr w:type="gramEnd"/>
            <w:r w:rsidRPr="00F75591">
              <w:rPr>
                <w:sz w:val="22"/>
                <w:szCs w:val="22"/>
              </w:rPr>
              <w:t xml:space="preserve"> the environment in which care is provided and the concept of privileged communication and confidentiality of medical records. An example is whether women feel others who are not involved in their care could hear information about their care or could see them during physical examinations.</w:t>
            </w:r>
          </w:p>
        </w:tc>
      </w:tr>
      <w:tr w:rsidR="00862CE0" w14:paraId="61B59A05" w14:textId="77777777" w:rsidTr="00862CE0">
        <w:tc>
          <w:tcPr>
            <w:tcW w:w="7308" w:type="dxa"/>
          </w:tcPr>
          <w:p w14:paraId="7F7777F3" w14:textId="103280D6" w:rsidR="00862CE0" w:rsidRPr="00F75591" w:rsidRDefault="00862CE0">
            <w:pPr>
              <w:rPr>
                <w:sz w:val="22"/>
                <w:szCs w:val="22"/>
              </w:rPr>
            </w:pPr>
            <w:r w:rsidRPr="00F75591">
              <w:rPr>
                <w:sz w:val="22"/>
                <w:szCs w:val="22"/>
              </w:rPr>
              <w:t>Communication</w:t>
            </w:r>
          </w:p>
        </w:tc>
        <w:tc>
          <w:tcPr>
            <w:tcW w:w="7308" w:type="dxa"/>
          </w:tcPr>
          <w:p w14:paraId="2541A076" w14:textId="18EB268C" w:rsidR="00862CE0" w:rsidRPr="00F75591" w:rsidRDefault="00862CE0" w:rsidP="00862CE0">
            <w:pPr>
              <w:tabs>
                <w:tab w:val="clear" w:pos="510"/>
                <w:tab w:val="clear" w:pos="1411"/>
              </w:tabs>
              <w:rPr>
                <w:sz w:val="22"/>
                <w:szCs w:val="22"/>
              </w:rPr>
            </w:pPr>
            <w:r w:rsidRPr="00F75591">
              <w:rPr>
                <w:sz w:val="22"/>
                <w:szCs w:val="22"/>
              </w:rPr>
              <w:t>Communication refers to providers clearly explaining to women and family the nature of their condition, details of treatment, and available treatment options. An example is whether providers clearly explain to women their conditions to them and the purpose of treatments as well as any side effects of treatments.</w:t>
            </w:r>
          </w:p>
        </w:tc>
      </w:tr>
      <w:tr w:rsidR="00862CE0" w14:paraId="2D488765" w14:textId="77777777" w:rsidTr="00862CE0">
        <w:tc>
          <w:tcPr>
            <w:tcW w:w="7308" w:type="dxa"/>
          </w:tcPr>
          <w:p w14:paraId="0EE292C7" w14:textId="2E1A50E6" w:rsidR="00862CE0" w:rsidRPr="00F75591" w:rsidRDefault="00EE6110">
            <w:pPr>
              <w:rPr>
                <w:sz w:val="22"/>
                <w:szCs w:val="22"/>
              </w:rPr>
            </w:pPr>
            <w:r w:rsidRPr="00F75591">
              <w:rPr>
                <w:sz w:val="22"/>
                <w:szCs w:val="22"/>
              </w:rPr>
              <w:t>Social Support</w:t>
            </w:r>
          </w:p>
        </w:tc>
        <w:tc>
          <w:tcPr>
            <w:tcW w:w="7308" w:type="dxa"/>
          </w:tcPr>
          <w:p w14:paraId="2525916B" w14:textId="577F7E21" w:rsidR="00862CE0" w:rsidRPr="00F75591" w:rsidRDefault="00F75591">
            <w:pPr>
              <w:rPr>
                <w:sz w:val="22"/>
                <w:szCs w:val="22"/>
              </w:rPr>
            </w:pPr>
            <w:r w:rsidRPr="00F75591">
              <w:rPr>
                <w:sz w:val="22"/>
                <w:szCs w:val="22"/>
              </w:rPr>
              <w:t>Social support reflects the extent to which women have access to their family and friends when receiving care. It also includes their right to receive food and other consumables from family where deemed appropriate.</w:t>
            </w:r>
          </w:p>
        </w:tc>
      </w:tr>
      <w:tr w:rsidR="00862CE0" w14:paraId="75C973A5" w14:textId="77777777" w:rsidTr="00862CE0">
        <w:tc>
          <w:tcPr>
            <w:tcW w:w="7308" w:type="dxa"/>
          </w:tcPr>
          <w:p w14:paraId="527EF925" w14:textId="59DA5CA7" w:rsidR="00862CE0" w:rsidRPr="00F75591" w:rsidRDefault="00EE6110">
            <w:pPr>
              <w:rPr>
                <w:sz w:val="22"/>
                <w:szCs w:val="22"/>
              </w:rPr>
            </w:pPr>
            <w:r w:rsidRPr="00F75591">
              <w:rPr>
                <w:sz w:val="22"/>
                <w:szCs w:val="22"/>
              </w:rPr>
              <w:t>Supportive Care</w:t>
            </w:r>
          </w:p>
        </w:tc>
        <w:tc>
          <w:tcPr>
            <w:tcW w:w="7308" w:type="dxa"/>
          </w:tcPr>
          <w:p w14:paraId="6C28D6E8" w14:textId="2593A4C4" w:rsidR="00862CE0" w:rsidRPr="00F75591" w:rsidRDefault="00F75591" w:rsidP="00EE6110">
            <w:pPr>
              <w:tabs>
                <w:tab w:val="clear" w:pos="510"/>
                <w:tab w:val="clear" w:pos="1411"/>
              </w:tabs>
              <w:rPr>
                <w:sz w:val="22"/>
                <w:szCs w:val="22"/>
              </w:rPr>
            </w:pPr>
            <w:r w:rsidRPr="00F75591">
              <w:rPr>
                <w:sz w:val="22"/>
                <w:szCs w:val="22"/>
              </w:rPr>
              <w:t>Supportive care refers to providing care in a compassionate manner. It includes women’s perceptions of how providers respond to them when they need more help. It also captures abandonment or denial of care.</w:t>
            </w:r>
          </w:p>
        </w:tc>
      </w:tr>
      <w:tr w:rsidR="00862CE0" w14:paraId="4E84E9A3" w14:textId="77777777" w:rsidTr="00862CE0">
        <w:tc>
          <w:tcPr>
            <w:tcW w:w="7308" w:type="dxa"/>
          </w:tcPr>
          <w:p w14:paraId="4C667A66" w14:textId="2F830D30" w:rsidR="00862CE0" w:rsidRPr="00F75591" w:rsidRDefault="00EE6110">
            <w:pPr>
              <w:rPr>
                <w:sz w:val="22"/>
                <w:szCs w:val="22"/>
              </w:rPr>
            </w:pPr>
            <w:r w:rsidRPr="00F75591">
              <w:rPr>
                <w:sz w:val="22"/>
                <w:szCs w:val="22"/>
              </w:rPr>
              <w:t>Trust</w:t>
            </w:r>
          </w:p>
        </w:tc>
        <w:tc>
          <w:tcPr>
            <w:tcW w:w="7308" w:type="dxa"/>
          </w:tcPr>
          <w:p w14:paraId="127285D5" w14:textId="2DF19FFE" w:rsidR="00862CE0" w:rsidRPr="00F75591" w:rsidRDefault="00796578">
            <w:pPr>
              <w:rPr>
                <w:sz w:val="22"/>
                <w:szCs w:val="22"/>
              </w:rPr>
            </w:pPr>
            <w:r>
              <w:rPr>
                <w:sz w:val="22"/>
                <w:szCs w:val="22"/>
              </w:rPr>
              <w:t>Trust</w:t>
            </w:r>
            <w:r w:rsidR="00EE6110" w:rsidRPr="00F75591">
              <w:rPr>
                <w:sz w:val="22"/>
                <w:szCs w:val="22"/>
              </w:rPr>
              <w:t xml:space="preserve"> captures how women assess their relationship</w:t>
            </w:r>
            <w:r>
              <w:rPr>
                <w:sz w:val="22"/>
                <w:szCs w:val="22"/>
              </w:rPr>
              <w:t>s</w:t>
            </w:r>
            <w:r w:rsidR="00EE6110" w:rsidRPr="00F75591">
              <w:rPr>
                <w:sz w:val="22"/>
                <w:szCs w:val="22"/>
              </w:rPr>
              <w:t xml:space="preserve"> with providers. Here, measures include whether women feel providers tell them the truth about their care and whether they have confidence in the competence of their providers.</w:t>
            </w:r>
          </w:p>
        </w:tc>
      </w:tr>
      <w:tr w:rsidR="00862CE0" w14:paraId="1DEC020D" w14:textId="77777777" w:rsidTr="00862CE0">
        <w:tc>
          <w:tcPr>
            <w:tcW w:w="7308" w:type="dxa"/>
          </w:tcPr>
          <w:p w14:paraId="5C03E0F7" w14:textId="702CE42D" w:rsidR="00862CE0" w:rsidRPr="00F75591" w:rsidRDefault="00EE6110">
            <w:pPr>
              <w:rPr>
                <w:sz w:val="22"/>
                <w:szCs w:val="22"/>
              </w:rPr>
            </w:pPr>
            <w:r w:rsidRPr="00F75591">
              <w:rPr>
                <w:sz w:val="22"/>
                <w:szCs w:val="22"/>
              </w:rPr>
              <w:t>Stigma/Discrimination</w:t>
            </w:r>
          </w:p>
        </w:tc>
        <w:tc>
          <w:tcPr>
            <w:tcW w:w="7308" w:type="dxa"/>
          </w:tcPr>
          <w:p w14:paraId="1BDA39E7" w14:textId="56E8D03E" w:rsidR="00862CE0" w:rsidRPr="00F75591" w:rsidRDefault="00796578" w:rsidP="00EE6110">
            <w:pPr>
              <w:tabs>
                <w:tab w:val="clear" w:pos="510"/>
                <w:tab w:val="clear" w:pos="1411"/>
              </w:tabs>
              <w:rPr>
                <w:sz w:val="22"/>
                <w:szCs w:val="22"/>
              </w:rPr>
            </w:pPr>
            <w:r>
              <w:rPr>
                <w:sz w:val="22"/>
                <w:szCs w:val="22"/>
              </w:rPr>
              <w:t>This</w:t>
            </w:r>
            <w:r w:rsidR="00EE6110" w:rsidRPr="00F75591">
              <w:rPr>
                <w:sz w:val="22"/>
                <w:szCs w:val="22"/>
              </w:rPr>
              <w:t xml:space="preserve"> captures the ability to receive dignified care irrespective of one’s status or other personal attributes. Measures here include whether women feel they are treated differently based on </w:t>
            </w:r>
            <w:r>
              <w:rPr>
                <w:sz w:val="22"/>
                <w:szCs w:val="22"/>
              </w:rPr>
              <w:t xml:space="preserve">their </w:t>
            </w:r>
            <w:r w:rsidR="00EE6110" w:rsidRPr="00F75591">
              <w:rPr>
                <w:sz w:val="22"/>
                <w:szCs w:val="22"/>
              </w:rPr>
              <w:t>age, wealth, or ethnicity.</w:t>
            </w:r>
          </w:p>
        </w:tc>
      </w:tr>
      <w:tr w:rsidR="00862CE0" w14:paraId="12BD17D1" w14:textId="77777777" w:rsidTr="00862CE0">
        <w:tc>
          <w:tcPr>
            <w:tcW w:w="7308" w:type="dxa"/>
          </w:tcPr>
          <w:p w14:paraId="021769DE" w14:textId="292BC0DB" w:rsidR="00862CE0" w:rsidRPr="00F75591" w:rsidRDefault="00EE6110">
            <w:pPr>
              <w:rPr>
                <w:sz w:val="22"/>
                <w:szCs w:val="22"/>
              </w:rPr>
            </w:pPr>
            <w:r w:rsidRPr="00F75591">
              <w:rPr>
                <w:sz w:val="22"/>
                <w:szCs w:val="22"/>
              </w:rPr>
              <w:t>Health Facility Environment</w:t>
            </w:r>
          </w:p>
        </w:tc>
        <w:tc>
          <w:tcPr>
            <w:tcW w:w="7308" w:type="dxa"/>
          </w:tcPr>
          <w:p w14:paraId="57452584" w14:textId="0376A1F1" w:rsidR="00862CE0" w:rsidRPr="00F75591" w:rsidRDefault="00F75591" w:rsidP="00EE6110">
            <w:pPr>
              <w:tabs>
                <w:tab w:val="clear" w:pos="510"/>
                <w:tab w:val="clear" w:pos="1411"/>
              </w:tabs>
              <w:rPr>
                <w:sz w:val="22"/>
                <w:szCs w:val="22"/>
              </w:rPr>
            </w:pPr>
            <w:r w:rsidRPr="00F75591">
              <w:rPr>
                <w:sz w:val="22"/>
                <w:szCs w:val="22"/>
              </w:rPr>
              <w:t xml:space="preserve">This refers to the </w:t>
            </w:r>
            <w:r w:rsidRPr="00F75591">
              <w:rPr>
                <w:iCs/>
                <w:sz w:val="22"/>
                <w:szCs w:val="22"/>
              </w:rPr>
              <w:t>quality of the facility, including having basic amenities</w:t>
            </w:r>
            <w:r w:rsidR="00796578">
              <w:rPr>
                <w:i/>
                <w:iCs/>
                <w:sz w:val="22"/>
                <w:szCs w:val="22"/>
              </w:rPr>
              <w:t xml:space="preserve"> </w:t>
            </w:r>
            <w:r w:rsidRPr="00F75591">
              <w:rPr>
                <w:iCs/>
                <w:sz w:val="22"/>
                <w:szCs w:val="22"/>
              </w:rPr>
              <w:t xml:space="preserve">and </w:t>
            </w:r>
            <w:r w:rsidRPr="00F75591">
              <w:rPr>
                <w:sz w:val="22"/>
                <w:szCs w:val="22"/>
              </w:rPr>
              <w:t>the extent to which a health facility offers a welcoming and pleasant environment. Examples include clean surroundings and enough space in waiting rooms and wards.</w:t>
            </w:r>
          </w:p>
        </w:tc>
      </w:tr>
    </w:tbl>
    <w:p w14:paraId="1F33EA74" w14:textId="77777777" w:rsidR="00862CE0" w:rsidRPr="00862CE0" w:rsidRDefault="00862CE0">
      <w:pPr>
        <w:rPr>
          <w:sz w:val="24"/>
          <w:szCs w:val="24"/>
        </w:rPr>
      </w:pPr>
    </w:p>
    <w:p w14:paraId="04A14295" w14:textId="77777777" w:rsidR="00862CE0" w:rsidRDefault="00862CE0">
      <w:pPr>
        <w:rPr>
          <w:sz w:val="20"/>
          <w:szCs w:val="20"/>
        </w:rPr>
      </w:pPr>
    </w:p>
    <w:p w14:paraId="1ACDCB7F" w14:textId="77777777" w:rsidR="00862CE0" w:rsidRDefault="00862CE0">
      <w:pPr>
        <w:rPr>
          <w:sz w:val="20"/>
          <w:szCs w:val="20"/>
        </w:rPr>
      </w:pPr>
    </w:p>
    <w:p w14:paraId="792F4DF3" w14:textId="77777777" w:rsidR="00796578" w:rsidRDefault="00796578">
      <w:pPr>
        <w:rPr>
          <w:sz w:val="20"/>
          <w:szCs w:val="20"/>
        </w:rPr>
      </w:pPr>
    </w:p>
    <w:p w14:paraId="64048DA4" w14:textId="77777777" w:rsidR="00862CE0" w:rsidRDefault="00862CE0">
      <w:pPr>
        <w:rPr>
          <w:sz w:val="20"/>
          <w:szCs w:val="20"/>
        </w:rPr>
      </w:pPr>
    </w:p>
    <w:p w14:paraId="1DBAC9DC" w14:textId="77777777" w:rsidR="00862CE0" w:rsidRPr="00DE25D1" w:rsidRDefault="00862CE0">
      <w:pPr>
        <w:rPr>
          <w:sz w:val="20"/>
          <w:szCs w:val="20"/>
          <w:u w:val="single"/>
        </w:rPr>
      </w:pPr>
    </w:p>
    <w:p w14:paraId="6517DF9A" w14:textId="5FEA0E14" w:rsidR="008F5BE5" w:rsidRPr="008F5BE5" w:rsidRDefault="008F5BE5" w:rsidP="008F5BE5">
      <w:pPr>
        <w:pStyle w:val="Heading1"/>
      </w:pPr>
      <w:r w:rsidRPr="008F5BE5">
        <w:lastRenderedPageBreak/>
        <w:t xml:space="preserve">Search Strategy </w:t>
      </w:r>
    </w:p>
    <w:p w14:paraId="74A7BBCF" w14:textId="57D36D60" w:rsidR="00DF145B" w:rsidRPr="008F5BE5" w:rsidRDefault="00DE25D1" w:rsidP="008F5BE5">
      <w:pPr>
        <w:pStyle w:val="Heading2"/>
      </w:pPr>
      <w:r w:rsidRPr="008F5BE5">
        <w:t xml:space="preserve">Final </w:t>
      </w:r>
      <w:proofErr w:type="spellStart"/>
      <w:r w:rsidRPr="008F5BE5">
        <w:t>Pubmed</w:t>
      </w:r>
      <w:proofErr w:type="spellEnd"/>
      <w:r w:rsidRPr="008F5BE5">
        <w:t xml:space="preserve"> Keywords: </w:t>
      </w:r>
    </w:p>
    <w:p w14:paraId="31CCBC7C" w14:textId="1055E174" w:rsidR="0021587B" w:rsidRDefault="00DF145B" w:rsidP="0021587B">
      <w:pPr>
        <w:rPr>
          <w:sz w:val="24"/>
          <w:szCs w:val="24"/>
        </w:rPr>
      </w:pPr>
      <w:r w:rsidRPr="00DE25D1">
        <w:rPr>
          <w:sz w:val="24"/>
          <w:szCs w:val="24"/>
        </w:rPr>
        <w:t>((("Maternal Health Services"[</w:t>
      </w:r>
      <w:proofErr w:type="spellStart"/>
      <w:r w:rsidRPr="00DE25D1">
        <w:rPr>
          <w:sz w:val="24"/>
          <w:szCs w:val="24"/>
        </w:rPr>
        <w:t>majr</w:t>
      </w:r>
      <w:proofErr w:type="spellEnd"/>
      <w:r w:rsidRPr="00DE25D1">
        <w:rPr>
          <w:sz w:val="24"/>
          <w:szCs w:val="24"/>
        </w:rPr>
        <w:t>] OR "maternal health"[</w:t>
      </w:r>
      <w:proofErr w:type="spellStart"/>
      <w:r w:rsidRPr="00DE25D1">
        <w:rPr>
          <w:sz w:val="24"/>
          <w:szCs w:val="24"/>
        </w:rPr>
        <w:t>tiab</w:t>
      </w:r>
      <w:proofErr w:type="spellEnd"/>
      <w:r w:rsidRPr="00DE25D1">
        <w:rPr>
          <w:sz w:val="24"/>
          <w:szCs w:val="24"/>
        </w:rPr>
        <w:t>] OR "maternal welfare"[</w:t>
      </w:r>
      <w:proofErr w:type="spellStart"/>
      <w:r w:rsidRPr="00DE25D1">
        <w:rPr>
          <w:sz w:val="24"/>
          <w:szCs w:val="24"/>
        </w:rPr>
        <w:t>MeSH</w:t>
      </w:r>
      <w:proofErr w:type="spellEnd"/>
      <w:r w:rsidRPr="00DE25D1">
        <w:rPr>
          <w:sz w:val="24"/>
          <w:szCs w:val="24"/>
        </w:rPr>
        <w:t>] OR "maternal welfare"[</w:t>
      </w:r>
      <w:proofErr w:type="spellStart"/>
      <w:r w:rsidRPr="00DE25D1">
        <w:rPr>
          <w:sz w:val="24"/>
          <w:szCs w:val="24"/>
        </w:rPr>
        <w:t>tiab</w:t>
      </w:r>
      <w:proofErr w:type="spellEnd"/>
      <w:r w:rsidRPr="00DE25D1">
        <w:rPr>
          <w:sz w:val="24"/>
          <w:szCs w:val="24"/>
        </w:rPr>
        <w:t>] OR antenatal[</w:t>
      </w:r>
      <w:proofErr w:type="spellStart"/>
      <w:r w:rsidRPr="00DE25D1">
        <w:rPr>
          <w:sz w:val="24"/>
          <w:szCs w:val="24"/>
        </w:rPr>
        <w:t>tiab</w:t>
      </w:r>
      <w:proofErr w:type="spellEnd"/>
      <w:r w:rsidRPr="00DE25D1">
        <w:rPr>
          <w:sz w:val="24"/>
          <w:szCs w:val="24"/>
        </w:rPr>
        <w:t>] OR "ante natal"[</w:t>
      </w:r>
      <w:proofErr w:type="spellStart"/>
      <w:r w:rsidRPr="00DE25D1">
        <w:rPr>
          <w:sz w:val="24"/>
          <w:szCs w:val="24"/>
        </w:rPr>
        <w:t>tiab</w:t>
      </w:r>
      <w:proofErr w:type="spellEnd"/>
      <w:r w:rsidRPr="00DE25D1">
        <w:rPr>
          <w:sz w:val="24"/>
          <w:szCs w:val="24"/>
        </w:rPr>
        <w:t>] OR perinatal[</w:t>
      </w:r>
      <w:proofErr w:type="spellStart"/>
      <w:r w:rsidRPr="00DE25D1">
        <w:rPr>
          <w:sz w:val="24"/>
          <w:szCs w:val="24"/>
        </w:rPr>
        <w:t>tiab</w:t>
      </w:r>
      <w:proofErr w:type="spellEnd"/>
      <w:r w:rsidRPr="00DE25D1">
        <w:rPr>
          <w:sz w:val="24"/>
          <w:szCs w:val="24"/>
        </w:rPr>
        <w:t>] OR "</w:t>
      </w:r>
      <w:proofErr w:type="spellStart"/>
      <w:r w:rsidRPr="00DE25D1">
        <w:rPr>
          <w:sz w:val="24"/>
          <w:szCs w:val="24"/>
        </w:rPr>
        <w:t>peri</w:t>
      </w:r>
      <w:proofErr w:type="spellEnd"/>
      <w:r w:rsidRPr="00DE25D1">
        <w:rPr>
          <w:sz w:val="24"/>
          <w:szCs w:val="24"/>
        </w:rPr>
        <w:t xml:space="preserve"> natal"[</w:t>
      </w:r>
      <w:proofErr w:type="spellStart"/>
      <w:r w:rsidRPr="00DE25D1">
        <w:rPr>
          <w:sz w:val="24"/>
          <w:szCs w:val="24"/>
        </w:rPr>
        <w:t>tiab</w:t>
      </w:r>
      <w:proofErr w:type="spellEnd"/>
      <w:r w:rsidRPr="00DE25D1">
        <w:rPr>
          <w:sz w:val="24"/>
          <w:szCs w:val="24"/>
        </w:rPr>
        <w:t>] OR postnatal[</w:t>
      </w:r>
      <w:proofErr w:type="spellStart"/>
      <w:r w:rsidRPr="00DE25D1">
        <w:rPr>
          <w:sz w:val="24"/>
          <w:szCs w:val="24"/>
        </w:rPr>
        <w:t>tiab</w:t>
      </w:r>
      <w:proofErr w:type="spellEnd"/>
      <w:r w:rsidRPr="00DE25D1">
        <w:rPr>
          <w:sz w:val="24"/>
          <w:szCs w:val="24"/>
        </w:rPr>
        <w:t>] OR "</w:t>
      </w:r>
      <w:proofErr w:type="spellStart"/>
      <w:r w:rsidRPr="00DE25D1">
        <w:rPr>
          <w:sz w:val="24"/>
          <w:szCs w:val="24"/>
        </w:rPr>
        <w:t>post natal</w:t>
      </w:r>
      <w:proofErr w:type="spellEnd"/>
      <w:r w:rsidRPr="00DE25D1">
        <w:rPr>
          <w:sz w:val="24"/>
          <w:szCs w:val="24"/>
        </w:rPr>
        <w:t>"[tiab] OR postpartum[</w:t>
      </w:r>
      <w:proofErr w:type="spellStart"/>
      <w:r w:rsidRPr="00DE25D1">
        <w:rPr>
          <w:sz w:val="24"/>
          <w:szCs w:val="24"/>
        </w:rPr>
        <w:t>tiab</w:t>
      </w:r>
      <w:proofErr w:type="spellEnd"/>
      <w:r w:rsidRPr="00DE25D1">
        <w:rPr>
          <w:sz w:val="24"/>
          <w:szCs w:val="24"/>
        </w:rPr>
        <w:t>] OR "</w:t>
      </w:r>
      <w:proofErr w:type="spellStart"/>
      <w:r w:rsidRPr="00DE25D1">
        <w:rPr>
          <w:sz w:val="24"/>
          <w:szCs w:val="24"/>
        </w:rPr>
        <w:t>post partum</w:t>
      </w:r>
      <w:proofErr w:type="spellEnd"/>
      <w:r w:rsidRPr="00DE25D1">
        <w:rPr>
          <w:sz w:val="24"/>
          <w:szCs w:val="24"/>
        </w:rPr>
        <w:t>"[tiab] OR intrapartum[</w:t>
      </w:r>
      <w:proofErr w:type="spellStart"/>
      <w:r w:rsidRPr="00DE25D1">
        <w:rPr>
          <w:sz w:val="24"/>
          <w:szCs w:val="24"/>
        </w:rPr>
        <w:t>tiab</w:t>
      </w:r>
      <w:proofErr w:type="spellEnd"/>
      <w:r w:rsidRPr="00DE25D1">
        <w:rPr>
          <w:sz w:val="24"/>
          <w:szCs w:val="24"/>
        </w:rPr>
        <w:t>] OR "intra partum"[</w:t>
      </w:r>
      <w:proofErr w:type="spellStart"/>
      <w:r w:rsidRPr="00DE25D1">
        <w:rPr>
          <w:sz w:val="24"/>
          <w:szCs w:val="24"/>
        </w:rPr>
        <w:t>tiab</w:t>
      </w:r>
      <w:proofErr w:type="spellEnd"/>
      <w:r w:rsidRPr="00DE25D1">
        <w:rPr>
          <w:sz w:val="24"/>
          <w:szCs w:val="24"/>
        </w:rPr>
        <w:t>] OR "maternal mortality"[</w:t>
      </w:r>
      <w:proofErr w:type="spellStart"/>
      <w:r w:rsidRPr="00DE25D1">
        <w:rPr>
          <w:sz w:val="24"/>
          <w:szCs w:val="24"/>
        </w:rPr>
        <w:t>tiab</w:t>
      </w:r>
      <w:proofErr w:type="spellEnd"/>
      <w:r w:rsidRPr="00DE25D1">
        <w:rPr>
          <w:sz w:val="24"/>
          <w:szCs w:val="24"/>
        </w:rPr>
        <w:t>] OR "maternal death"[</w:t>
      </w:r>
      <w:proofErr w:type="spellStart"/>
      <w:r w:rsidRPr="00DE25D1">
        <w:rPr>
          <w:sz w:val="24"/>
          <w:szCs w:val="24"/>
        </w:rPr>
        <w:t>tiab</w:t>
      </w:r>
      <w:proofErr w:type="spellEnd"/>
      <w:r w:rsidRPr="00DE25D1">
        <w:rPr>
          <w:sz w:val="24"/>
          <w:szCs w:val="24"/>
        </w:rPr>
        <w:t>] OR "maternal morbidity"[</w:t>
      </w:r>
      <w:proofErr w:type="spellStart"/>
      <w:r w:rsidRPr="00DE25D1">
        <w:rPr>
          <w:sz w:val="24"/>
          <w:szCs w:val="24"/>
        </w:rPr>
        <w:t>tiab</w:t>
      </w:r>
      <w:proofErr w:type="spellEnd"/>
      <w:r w:rsidRPr="00DE25D1">
        <w:rPr>
          <w:sz w:val="24"/>
          <w:szCs w:val="24"/>
        </w:rPr>
        <w:t>] OR "maternal mortality rate"[</w:t>
      </w:r>
      <w:proofErr w:type="spellStart"/>
      <w:r w:rsidRPr="00DE25D1">
        <w:rPr>
          <w:sz w:val="24"/>
          <w:szCs w:val="24"/>
        </w:rPr>
        <w:t>tiab</w:t>
      </w:r>
      <w:proofErr w:type="spellEnd"/>
      <w:r w:rsidRPr="00DE25D1">
        <w:rPr>
          <w:sz w:val="24"/>
          <w:szCs w:val="24"/>
        </w:rPr>
        <w:t>] OR "maternal complications"[</w:t>
      </w:r>
      <w:proofErr w:type="spellStart"/>
      <w:r w:rsidRPr="00DE25D1">
        <w:rPr>
          <w:sz w:val="24"/>
          <w:szCs w:val="24"/>
        </w:rPr>
        <w:t>tiab</w:t>
      </w:r>
      <w:proofErr w:type="spellEnd"/>
      <w:r w:rsidRPr="00DE25D1">
        <w:rPr>
          <w:sz w:val="24"/>
          <w:szCs w:val="24"/>
        </w:rPr>
        <w:t>] OR "obstetric delivery"[</w:t>
      </w:r>
      <w:proofErr w:type="spellStart"/>
      <w:r w:rsidRPr="00DE25D1">
        <w:rPr>
          <w:sz w:val="24"/>
          <w:szCs w:val="24"/>
        </w:rPr>
        <w:t>tiab</w:t>
      </w:r>
      <w:proofErr w:type="spellEnd"/>
      <w:r w:rsidRPr="00DE25D1">
        <w:rPr>
          <w:sz w:val="24"/>
          <w:szCs w:val="24"/>
        </w:rPr>
        <w:t>] OR "obstetric deliveries"[</w:t>
      </w:r>
      <w:proofErr w:type="spellStart"/>
      <w:r w:rsidRPr="00DE25D1">
        <w:rPr>
          <w:sz w:val="24"/>
          <w:szCs w:val="24"/>
        </w:rPr>
        <w:t>tiab</w:t>
      </w:r>
      <w:proofErr w:type="spellEnd"/>
      <w:r w:rsidRPr="00DE25D1">
        <w:rPr>
          <w:sz w:val="24"/>
          <w:szCs w:val="24"/>
        </w:rPr>
        <w:t>] OR "delivery, obstetric"[Mesh] OR "obstetric labor"[</w:t>
      </w:r>
      <w:proofErr w:type="spellStart"/>
      <w:r w:rsidRPr="00DE25D1">
        <w:rPr>
          <w:sz w:val="24"/>
          <w:szCs w:val="24"/>
        </w:rPr>
        <w:t>tiab</w:t>
      </w:r>
      <w:proofErr w:type="spellEnd"/>
      <w:r w:rsidRPr="00DE25D1">
        <w:rPr>
          <w:sz w:val="24"/>
          <w:szCs w:val="24"/>
        </w:rPr>
        <w:t>] OR "cesarean section"[</w:t>
      </w:r>
      <w:proofErr w:type="spellStart"/>
      <w:r w:rsidRPr="00DE25D1">
        <w:rPr>
          <w:sz w:val="24"/>
          <w:szCs w:val="24"/>
        </w:rPr>
        <w:t>MeSH</w:t>
      </w:r>
      <w:proofErr w:type="spellEnd"/>
      <w:r w:rsidRPr="00DE25D1">
        <w:rPr>
          <w:sz w:val="24"/>
          <w:szCs w:val="24"/>
        </w:rPr>
        <w:t>] OR "caesarean section"[</w:t>
      </w:r>
      <w:proofErr w:type="spellStart"/>
      <w:r w:rsidRPr="00DE25D1">
        <w:rPr>
          <w:sz w:val="24"/>
          <w:szCs w:val="24"/>
        </w:rPr>
        <w:t>tiab</w:t>
      </w:r>
      <w:proofErr w:type="spellEnd"/>
      <w:r w:rsidRPr="00DE25D1">
        <w:rPr>
          <w:sz w:val="24"/>
          <w:szCs w:val="24"/>
        </w:rPr>
        <w:t>] OR "vaginal birth"[</w:t>
      </w:r>
      <w:proofErr w:type="spellStart"/>
      <w:r w:rsidRPr="00DE25D1">
        <w:rPr>
          <w:sz w:val="24"/>
          <w:szCs w:val="24"/>
        </w:rPr>
        <w:t>tiab</w:t>
      </w:r>
      <w:proofErr w:type="spellEnd"/>
      <w:r w:rsidRPr="00DE25D1">
        <w:rPr>
          <w:sz w:val="24"/>
          <w:szCs w:val="24"/>
        </w:rPr>
        <w:t>] OR pregnancy[</w:t>
      </w:r>
      <w:proofErr w:type="spellStart"/>
      <w:r w:rsidRPr="00DE25D1">
        <w:rPr>
          <w:sz w:val="24"/>
          <w:szCs w:val="24"/>
        </w:rPr>
        <w:t>tiab</w:t>
      </w:r>
      <w:proofErr w:type="spellEnd"/>
      <w:r w:rsidRPr="00DE25D1">
        <w:rPr>
          <w:sz w:val="24"/>
          <w:szCs w:val="24"/>
        </w:rPr>
        <w:t>] OR childbirth[</w:t>
      </w:r>
      <w:proofErr w:type="spellStart"/>
      <w:r w:rsidRPr="00DE25D1">
        <w:rPr>
          <w:sz w:val="24"/>
          <w:szCs w:val="24"/>
        </w:rPr>
        <w:t>tiab</w:t>
      </w:r>
      <w:proofErr w:type="spellEnd"/>
      <w:r w:rsidRPr="00DE25D1">
        <w:rPr>
          <w:sz w:val="24"/>
          <w:szCs w:val="24"/>
        </w:rPr>
        <w:t>] OR parturition[</w:t>
      </w:r>
      <w:proofErr w:type="spellStart"/>
      <w:r w:rsidRPr="00DE25D1">
        <w:rPr>
          <w:sz w:val="24"/>
          <w:szCs w:val="24"/>
        </w:rPr>
        <w:t>tiab</w:t>
      </w:r>
      <w:proofErr w:type="spellEnd"/>
      <w:r w:rsidRPr="00DE25D1">
        <w:rPr>
          <w:sz w:val="24"/>
          <w:szCs w:val="24"/>
        </w:rPr>
        <w:t>] OR birth[</w:t>
      </w:r>
      <w:proofErr w:type="spellStart"/>
      <w:r w:rsidRPr="00DE25D1">
        <w:rPr>
          <w:sz w:val="24"/>
          <w:szCs w:val="24"/>
        </w:rPr>
        <w:t>tiab</w:t>
      </w:r>
      <w:proofErr w:type="spellEnd"/>
      <w:r w:rsidRPr="00DE25D1">
        <w:rPr>
          <w:sz w:val="24"/>
          <w:szCs w:val="24"/>
        </w:rPr>
        <w:t>] OR births[</w:t>
      </w:r>
      <w:proofErr w:type="spellStart"/>
      <w:r w:rsidRPr="00DE25D1">
        <w:rPr>
          <w:sz w:val="24"/>
          <w:szCs w:val="24"/>
        </w:rPr>
        <w:t>tiab</w:t>
      </w:r>
      <w:proofErr w:type="spellEnd"/>
      <w:r w:rsidRPr="00DE25D1">
        <w:rPr>
          <w:sz w:val="24"/>
          <w:szCs w:val="24"/>
        </w:rPr>
        <w:t>] OR "live birth"[</w:t>
      </w:r>
      <w:proofErr w:type="spellStart"/>
      <w:r w:rsidRPr="00DE25D1">
        <w:rPr>
          <w:sz w:val="24"/>
          <w:szCs w:val="24"/>
        </w:rPr>
        <w:t>tiab</w:t>
      </w:r>
      <w:proofErr w:type="spellEnd"/>
      <w:r w:rsidRPr="00DE25D1">
        <w:rPr>
          <w:sz w:val="24"/>
          <w:szCs w:val="24"/>
        </w:rPr>
        <w:t>] OR "home childbirth"[</w:t>
      </w:r>
      <w:proofErr w:type="spellStart"/>
      <w:r w:rsidRPr="00DE25D1">
        <w:rPr>
          <w:sz w:val="24"/>
          <w:szCs w:val="24"/>
        </w:rPr>
        <w:t>tiab</w:t>
      </w:r>
      <w:proofErr w:type="spellEnd"/>
      <w:r w:rsidRPr="00DE25D1">
        <w:rPr>
          <w:sz w:val="24"/>
          <w:szCs w:val="24"/>
        </w:rPr>
        <w:t>] OR "traditional birth attendant"[</w:t>
      </w:r>
      <w:proofErr w:type="spellStart"/>
      <w:r w:rsidRPr="00DE25D1">
        <w:rPr>
          <w:sz w:val="24"/>
          <w:szCs w:val="24"/>
        </w:rPr>
        <w:t>tiab</w:t>
      </w:r>
      <w:proofErr w:type="spellEnd"/>
      <w:r w:rsidRPr="00DE25D1">
        <w:rPr>
          <w:sz w:val="24"/>
          <w:szCs w:val="24"/>
        </w:rPr>
        <w:t>] OR "skilled birth attendant"[</w:t>
      </w:r>
      <w:proofErr w:type="spellStart"/>
      <w:r w:rsidRPr="00DE25D1">
        <w:rPr>
          <w:sz w:val="24"/>
          <w:szCs w:val="24"/>
        </w:rPr>
        <w:t>tiab</w:t>
      </w:r>
      <w:proofErr w:type="spellEnd"/>
      <w:r w:rsidRPr="00DE25D1">
        <w:rPr>
          <w:sz w:val="24"/>
          <w:szCs w:val="24"/>
        </w:rPr>
        <w:t>] OR doula[</w:t>
      </w:r>
      <w:proofErr w:type="spellStart"/>
      <w:r w:rsidRPr="00DE25D1">
        <w:rPr>
          <w:sz w:val="24"/>
          <w:szCs w:val="24"/>
        </w:rPr>
        <w:t>tiab</w:t>
      </w:r>
      <w:proofErr w:type="spellEnd"/>
      <w:r w:rsidRPr="00DE25D1">
        <w:rPr>
          <w:sz w:val="24"/>
          <w:szCs w:val="24"/>
        </w:rPr>
        <w:t>] OR doulas[</w:t>
      </w:r>
      <w:proofErr w:type="spellStart"/>
      <w:r w:rsidRPr="00DE25D1">
        <w:rPr>
          <w:sz w:val="24"/>
          <w:szCs w:val="24"/>
        </w:rPr>
        <w:t>tiab</w:t>
      </w:r>
      <w:proofErr w:type="spellEnd"/>
      <w:r w:rsidRPr="00DE25D1">
        <w:rPr>
          <w:sz w:val="24"/>
          <w:szCs w:val="24"/>
        </w:rPr>
        <w:t>] OR midwife[</w:t>
      </w:r>
      <w:proofErr w:type="spellStart"/>
      <w:r w:rsidRPr="00DE25D1">
        <w:rPr>
          <w:sz w:val="24"/>
          <w:szCs w:val="24"/>
        </w:rPr>
        <w:t>tiab</w:t>
      </w:r>
      <w:proofErr w:type="spellEnd"/>
      <w:r w:rsidRPr="00DE25D1">
        <w:rPr>
          <w:sz w:val="24"/>
          <w:szCs w:val="24"/>
        </w:rPr>
        <w:t>] OR midwives[</w:t>
      </w:r>
      <w:proofErr w:type="spellStart"/>
      <w:r w:rsidRPr="00DE25D1">
        <w:rPr>
          <w:sz w:val="24"/>
          <w:szCs w:val="24"/>
        </w:rPr>
        <w:t>tiab</w:t>
      </w:r>
      <w:proofErr w:type="spellEnd"/>
      <w:r w:rsidRPr="00DE25D1">
        <w:rPr>
          <w:sz w:val="24"/>
          <w:szCs w:val="24"/>
        </w:rPr>
        <w:t>]) AND ("Human Rights"[</w:t>
      </w:r>
      <w:proofErr w:type="spellStart"/>
      <w:r w:rsidRPr="00DE25D1">
        <w:rPr>
          <w:sz w:val="24"/>
          <w:szCs w:val="24"/>
        </w:rPr>
        <w:t>MeSH</w:t>
      </w:r>
      <w:proofErr w:type="spellEnd"/>
      <w:r w:rsidRPr="00DE25D1">
        <w:rPr>
          <w:sz w:val="24"/>
          <w:szCs w:val="24"/>
        </w:rPr>
        <w:t>] OR "patient-centered care"[</w:t>
      </w:r>
      <w:proofErr w:type="spellStart"/>
      <w:r w:rsidRPr="00DE25D1">
        <w:rPr>
          <w:sz w:val="24"/>
          <w:szCs w:val="24"/>
        </w:rPr>
        <w:t>MeSH</w:t>
      </w:r>
      <w:proofErr w:type="spellEnd"/>
      <w:r w:rsidRPr="00DE25D1">
        <w:rPr>
          <w:sz w:val="24"/>
          <w:szCs w:val="24"/>
        </w:rPr>
        <w:t xml:space="preserve"> Terms] OR "patient-centered care"[</w:t>
      </w:r>
      <w:proofErr w:type="spellStart"/>
      <w:r w:rsidRPr="00DE25D1">
        <w:rPr>
          <w:sz w:val="24"/>
          <w:szCs w:val="24"/>
        </w:rPr>
        <w:t>tiab</w:t>
      </w:r>
      <w:proofErr w:type="spellEnd"/>
      <w:r w:rsidRPr="00DE25D1">
        <w:rPr>
          <w:sz w:val="24"/>
          <w:szCs w:val="24"/>
        </w:rPr>
        <w:t>] OR "patient-</w:t>
      </w:r>
      <w:proofErr w:type="spellStart"/>
      <w:r w:rsidRPr="00DE25D1">
        <w:rPr>
          <w:sz w:val="24"/>
          <w:szCs w:val="24"/>
        </w:rPr>
        <w:t>centred</w:t>
      </w:r>
      <w:proofErr w:type="spellEnd"/>
      <w:r w:rsidRPr="00DE25D1">
        <w:rPr>
          <w:sz w:val="24"/>
          <w:szCs w:val="24"/>
        </w:rPr>
        <w:t xml:space="preserve"> care"[</w:t>
      </w:r>
      <w:proofErr w:type="spellStart"/>
      <w:r w:rsidRPr="00DE25D1">
        <w:rPr>
          <w:sz w:val="24"/>
          <w:szCs w:val="24"/>
        </w:rPr>
        <w:t>tiab</w:t>
      </w:r>
      <w:proofErr w:type="spellEnd"/>
      <w:r w:rsidRPr="00DE25D1">
        <w:rPr>
          <w:sz w:val="24"/>
          <w:szCs w:val="24"/>
        </w:rPr>
        <w:t>] OR "woman centered care"[</w:t>
      </w:r>
      <w:proofErr w:type="spellStart"/>
      <w:r w:rsidRPr="00DE25D1">
        <w:rPr>
          <w:sz w:val="24"/>
          <w:szCs w:val="24"/>
        </w:rPr>
        <w:t>tiab</w:t>
      </w:r>
      <w:proofErr w:type="spellEnd"/>
      <w:r w:rsidRPr="00DE25D1">
        <w:rPr>
          <w:sz w:val="24"/>
          <w:szCs w:val="24"/>
        </w:rPr>
        <w:t xml:space="preserve">] OR "woman </w:t>
      </w:r>
      <w:proofErr w:type="spellStart"/>
      <w:r w:rsidRPr="00DE25D1">
        <w:rPr>
          <w:sz w:val="24"/>
          <w:szCs w:val="24"/>
        </w:rPr>
        <w:t>centred</w:t>
      </w:r>
      <w:proofErr w:type="spellEnd"/>
      <w:r w:rsidRPr="00DE25D1">
        <w:rPr>
          <w:sz w:val="24"/>
          <w:szCs w:val="24"/>
        </w:rPr>
        <w:t>"[</w:t>
      </w:r>
      <w:proofErr w:type="spellStart"/>
      <w:r w:rsidRPr="00DE25D1">
        <w:rPr>
          <w:sz w:val="24"/>
          <w:szCs w:val="24"/>
        </w:rPr>
        <w:t>tiab</w:t>
      </w:r>
      <w:proofErr w:type="spellEnd"/>
      <w:r w:rsidRPr="00DE25D1">
        <w:rPr>
          <w:sz w:val="24"/>
          <w:szCs w:val="24"/>
        </w:rPr>
        <w:t>] OR "person centered care"[</w:t>
      </w:r>
      <w:proofErr w:type="spellStart"/>
      <w:r w:rsidRPr="00DE25D1">
        <w:rPr>
          <w:sz w:val="24"/>
          <w:szCs w:val="24"/>
        </w:rPr>
        <w:t>tiab</w:t>
      </w:r>
      <w:proofErr w:type="spellEnd"/>
      <w:r w:rsidRPr="00DE25D1">
        <w:rPr>
          <w:sz w:val="24"/>
          <w:szCs w:val="24"/>
        </w:rPr>
        <w:t xml:space="preserve">] OR "person </w:t>
      </w:r>
      <w:proofErr w:type="spellStart"/>
      <w:r w:rsidRPr="00DE25D1">
        <w:rPr>
          <w:sz w:val="24"/>
          <w:szCs w:val="24"/>
        </w:rPr>
        <w:t>centred</w:t>
      </w:r>
      <w:proofErr w:type="spellEnd"/>
      <w:r w:rsidRPr="00DE25D1">
        <w:rPr>
          <w:sz w:val="24"/>
          <w:szCs w:val="24"/>
        </w:rPr>
        <w:t xml:space="preserve"> care"[</w:t>
      </w:r>
      <w:proofErr w:type="spellStart"/>
      <w:r w:rsidRPr="00DE25D1">
        <w:rPr>
          <w:sz w:val="24"/>
          <w:szCs w:val="24"/>
        </w:rPr>
        <w:t>tiab</w:t>
      </w:r>
      <w:proofErr w:type="spellEnd"/>
      <w:r w:rsidRPr="00DE25D1">
        <w:rPr>
          <w:sz w:val="24"/>
          <w:szCs w:val="24"/>
        </w:rPr>
        <w:t>] OR "client centered care"[</w:t>
      </w:r>
      <w:proofErr w:type="spellStart"/>
      <w:r w:rsidRPr="00DE25D1">
        <w:rPr>
          <w:sz w:val="24"/>
          <w:szCs w:val="24"/>
        </w:rPr>
        <w:t>tiab</w:t>
      </w:r>
      <w:proofErr w:type="spellEnd"/>
      <w:r w:rsidRPr="00DE25D1">
        <w:rPr>
          <w:sz w:val="24"/>
          <w:szCs w:val="24"/>
        </w:rPr>
        <w:t xml:space="preserve">] OR "client </w:t>
      </w:r>
      <w:proofErr w:type="spellStart"/>
      <w:r w:rsidRPr="00DE25D1">
        <w:rPr>
          <w:sz w:val="24"/>
          <w:szCs w:val="24"/>
        </w:rPr>
        <w:t>centred</w:t>
      </w:r>
      <w:proofErr w:type="spellEnd"/>
      <w:r w:rsidRPr="00DE25D1">
        <w:rPr>
          <w:sz w:val="24"/>
          <w:szCs w:val="24"/>
        </w:rPr>
        <w:t xml:space="preserve"> care"[</w:t>
      </w:r>
      <w:proofErr w:type="spellStart"/>
      <w:r w:rsidRPr="00DE25D1">
        <w:rPr>
          <w:sz w:val="24"/>
          <w:szCs w:val="24"/>
        </w:rPr>
        <w:t>tiab</w:t>
      </w:r>
      <w:proofErr w:type="spellEnd"/>
      <w:r w:rsidRPr="00DE25D1">
        <w:rPr>
          <w:sz w:val="24"/>
          <w:szCs w:val="24"/>
        </w:rPr>
        <w:t>] OR communication[</w:t>
      </w:r>
      <w:proofErr w:type="spellStart"/>
      <w:r w:rsidRPr="00DE25D1">
        <w:rPr>
          <w:sz w:val="24"/>
          <w:szCs w:val="24"/>
        </w:rPr>
        <w:t>tiab</w:t>
      </w:r>
      <w:proofErr w:type="spellEnd"/>
      <w:r w:rsidRPr="00DE25D1">
        <w:rPr>
          <w:sz w:val="24"/>
          <w:szCs w:val="24"/>
        </w:rPr>
        <w:t>] OR communicate[</w:t>
      </w:r>
      <w:proofErr w:type="spellStart"/>
      <w:r w:rsidRPr="00DE25D1">
        <w:rPr>
          <w:sz w:val="24"/>
          <w:szCs w:val="24"/>
        </w:rPr>
        <w:t>tiab</w:t>
      </w:r>
      <w:proofErr w:type="spellEnd"/>
      <w:r w:rsidRPr="00DE25D1">
        <w:rPr>
          <w:sz w:val="24"/>
          <w:szCs w:val="24"/>
        </w:rPr>
        <w:t>] OR respect[</w:t>
      </w:r>
      <w:proofErr w:type="spellStart"/>
      <w:r w:rsidRPr="00DE25D1">
        <w:rPr>
          <w:sz w:val="24"/>
          <w:szCs w:val="24"/>
        </w:rPr>
        <w:t>tiab</w:t>
      </w:r>
      <w:proofErr w:type="spellEnd"/>
      <w:r w:rsidRPr="00DE25D1">
        <w:rPr>
          <w:sz w:val="24"/>
          <w:szCs w:val="24"/>
        </w:rPr>
        <w:t>] OR disrespect[</w:t>
      </w:r>
      <w:proofErr w:type="spellStart"/>
      <w:r w:rsidRPr="00DE25D1">
        <w:rPr>
          <w:sz w:val="24"/>
          <w:szCs w:val="24"/>
        </w:rPr>
        <w:t>tiab</w:t>
      </w:r>
      <w:proofErr w:type="spellEnd"/>
      <w:r w:rsidRPr="00DE25D1">
        <w:rPr>
          <w:sz w:val="24"/>
          <w:szCs w:val="24"/>
        </w:rPr>
        <w:t>] OR disrespectful[</w:t>
      </w:r>
      <w:proofErr w:type="spellStart"/>
      <w:r w:rsidRPr="00DE25D1">
        <w:rPr>
          <w:sz w:val="24"/>
          <w:szCs w:val="24"/>
        </w:rPr>
        <w:t>tiab</w:t>
      </w:r>
      <w:proofErr w:type="spellEnd"/>
      <w:r w:rsidRPr="00DE25D1">
        <w:rPr>
          <w:sz w:val="24"/>
          <w:szCs w:val="24"/>
        </w:rPr>
        <w:t>] OR dignity[</w:t>
      </w:r>
      <w:proofErr w:type="spellStart"/>
      <w:r w:rsidRPr="00DE25D1">
        <w:rPr>
          <w:sz w:val="24"/>
          <w:szCs w:val="24"/>
        </w:rPr>
        <w:t>tiab</w:t>
      </w:r>
      <w:proofErr w:type="spellEnd"/>
      <w:r w:rsidRPr="00DE25D1">
        <w:rPr>
          <w:sz w:val="24"/>
          <w:szCs w:val="24"/>
        </w:rPr>
        <w:t>] OR stigma[</w:t>
      </w:r>
      <w:proofErr w:type="spellStart"/>
      <w:r w:rsidRPr="00DE25D1">
        <w:rPr>
          <w:sz w:val="24"/>
          <w:szCs w:val="24"/>
        </w:rPr>
        <w:t>tiab</w:t>
      </w:r>
      <w:proofErr w:type="spellEnd"/>
      <w:r w:rsidRPr="00DE25D1">
        <w:rPr>
          <w:sz w:val="24"/>
          <w:szCs w:val="24"/>
        </w:rPr>
        <w:t>] OR neglect[</w:t>
      </w:r>
      <w:proofErr w:type="spellStart"/>
      <w:r w:rsidRPr="00DE25D1">
        <w:rPr>
          <w:sz w:val="24"/>
          <w:szCs w:val="24"/>
        </w:rPr>
        <w:t>tiab</w:t>
      </w:r>
      <w:proofErr w:type="spellEnd"/>
      <w:r w:rsidRPr="00DE25D1">
        <w:rPr>
          <w:sz w:val="24"/>
          <w:szCs w:val="24"/>
        </w:rPr>
        <w:t>] OR mistreatment[</w:t>
      </w:r>
      <w:proofErr w:type="spellStart"/>
      <w:r w:rsidRPr="00DE25D1">
        <w:rPr>
          <w:sz w:val="24"/>
          <w:szCs w:val="24"/>
        </w:rPr>
        <w:t>tiab</w:t>
      </w:r>
      <w:proofErr w:type="spellEnd"/>
      <w:r w:rsidRPr="00DE25D1">
        <w:rPr>
          <w:sz w:val="24"/>
          <w:szCs w:val="24"/>
        </w:rPr>
        <w:t>] OR "emotional support"[</w:t>
      </w:r>
      <w:proofErr w:type="spellStart"/>
      <w:r w:rsidRPr="00DE25D1">
        <w:rPr>
          <w:sz w:val="24"/>
          <w:szCs w:val="24"/>
        </w:rPr>
        <w:t>tiab</w:t>
      </w:r>
      <w:proofErr w:type="spellEnd"/>
      <w:r w:rsidRPr="00DE25D1">
        <w:rPr>
          <w:sz w:val="24"/>
          <w:szCs w:val="24"/>
        </w:rPr>
        <w:t>] OR "experience of care"[</w:t>
      </w:r>
      <w:proofErr w:type="spellStart"/>
      <w:r w:rsidRPr="00DE25D1">
        <w:rPr>
          <w:sz w:val="24"/>
          <w:szCs w:val="24"/>
        </w:rPr>
        <w:t>tiab</w:t>
      </w:r>
      <w:proofErr w:type="spellEnd"/>
      <w:r w:rsidRPr="00DE25D1">
        <w:rPr>
          <w:sz w:val="24"/>
          <w:szCs w:val="24"/>
        </w:rPr>
        <w:t>] OR abuse[</w:t>
      </w:r>
      <w:proofErr w:type="spellStart"/>
      <w:r w:rsidRPr="00DE25D1">
        <w:rPr>
          <w:sz w:val="24"/>
          <w:szCs w:val="24"/>
        </w:rPr>
        <w:t>tiab</w:t>
      </w:r>
      <w:proofErr w:type="spellEnd"/>
      <w:r w:rsidRPr="00DE25D1">
        <w:rPr>
          <w:sz w:val="24"/>
          <w:szCs w:val="24"/>
        </w:rPr>
        <w:t>] OR privacy[</w:t>
      </w:r>
      <w:proofErr w:type="spellStart"/>
      <w:r w:rsidRPr="00DE25D1">
        <w:rPr>
          <w:sz w:val="24"/>
          <w:szCs w:val="24"/>
        </w:rPr>
        <w:t>tiab</w:t>
      </w:r>
      <w:proofErr w:type="spellEnd"/>
      <w:r w:rsidRPr="00DE25D1">
        <w:rPr>
          <w:sz w:val="24"/>
          <w:szCs w:val="24"/>
        </w:rPr>
        <w:t>] OR "perceived quality"[</w:t>
      </w:r>
      <w:proofErr w:type="spellStart"/>
      <w:r w:rsidRPr="00DE25D1">
        <w:rPr>
          <w:sz w:val="24"/>
          <w:szCs w:val="24"/>
        </w:rPr>
        <w:t>tiab</w:t>
      </w:r>
      <w:proofErr w:type="spellEnd"/>
      <w:r w:rsidRPr="00DE25D1">
        <w:rPr>
          <w:sz w:val="24"/>
          <w:szCs w:val="24"/>
        </w:rPr>
        <w:t>] OR "patient satisfaction"[</w:t>
      </w:r>
      <w:proofErr w:type="spellStart"/>
      <w:r w:rsidRPr="00DE25D1">
        <w:rPr>
          <w:sz w:val="24"/>
          <w:szCs w:val="24"/>
        </w:rPr>
        <w:t>tiab</w:t>
      </w:r>
      <w:proofErr w:type="spellEnd"/>
      <w:r w:rsidRPr="00DE25D1">
        <w:rPr>
          <w:sz w:val="24"/>
          <w:szCs w:val="24"/>
        </w:rPr>
        <w:t>] OR "healthcare quality"[</w:t>
      </w:r>
      <w:proofErr w:type="spellStart"/>
      <w:r w:rsidRPr="00DE25D1">
        <w:rPr>
          <w:sz w:val="24"/>
          <w:szCs w:val="24"/>
        </w:rPr>
        <w:t>tiab</w:t>
      </w:r>
      <w:proofErr w:type="spellEnd"/>
      <w:r w:rsidRPr="00DE25D1">
        <w:rPr>
          <w:sz w:val="24"/>
          <w:szCs w:val="24"/>
        </w:rPr>
        <w:t>] OR "cultural competence"[</w:t>
      </w:r>
      <w:proofErr w:type="spellStart"/>
      <w:r w:rsidRPr="00DE25D1">
        <w:rPr>
          <w:sz w:val="24"/>
          <w:szCs w:val="24"/>
        </w:rPr>
        <w:t>tiab</w:t>
      </w:r>
      <w:proofErr w:type="spellEnd"/>
      <w:r w:rsidRPr="00DE25D1">
        <w:rPr>
          <w:sz w:val="24"/>
          <w:szCs w:val="24"/>
        </w:rPr>
        <w:t>] OR "clinical competence"[</w:t>
      </w:r>
      <w:proofErr w:type="spellStart"/>
      <w:r w:rsidRPr="00DE25D1">
        <w:rPr>
          <w:sz w:val="24"/>
          <w:szCs w:val="24"/>
        </w:rPr>
        <w:t>tiab</w:t>
      </w:r>
      <w:proofErr w:type="spellEnd"/>
      <w:r w:rsidRPr="00DE25D1">
        <w:rPr>
          <w:sz w:val="24"/>
          <w:szCs w:val="24"/>
        </w:rPr>
        <w:t>] OR "informed choice"[</w:t>
      </w:r>
      <w:proofErr w:type="spellStart"/>
      <w:r w:rsidRPr="00DE25D1">
        <w:rPr>
          <w:sz w:val="24"/>
          <w:szCs w:val="24"/>
        </w:rPr>
        <w:t>tiab</w:t>
      </w:r>
      <w:proofErr w:type="spellEnd"/>
      <w:r w:rsidRPr="00DE25D1">
        <w:rPr>
          <w:sz w:val="24"/>
          <w:szCs w:val="24"/>
        </w:rPr>
        <w:t>] OR counseling[</w:t>
      </w:r>
      <w:proofErr w:type="spellStart"/>
      <w:r w:rsidRPr="00DE25D1">
        <w:rPr>
          <w:sz w:val="24"/>
          <w:szCs w:val="24"/>
        </w:rPr>
        <w:t>tiab</w:t>
      </w:r>
      <w:proofErr w:type="spellEnd"/>
      <w:r w:rsidRPr="00DE25D1">
        <w:rPr>
          <w:sz w:val="24"/>
          <w:szCs w:val="24"/>
        </w:rPr>
        <w:t>] OR "patient provider interaction"[</w:t>
      </w:r>
      <w:proofErr w:type="spellStart"/>
      <w:r w:rsidRPr="00DE25D1">
        <w:rPr>
          <w:sz w:val="24"/>
          <w:szCs w:val="24"/>
        </w:rPr>
        <w:t>tiab</w:t>
      </w:r>
      <w:proofErr w:type="spellEnd"/>
      <w:r w:rsidRPr="00DE25D1">
        <w:rPr>
          <w:sz w:val="24"/>
          <w:szCs w:val="24"/>
        </w:rPr>
        <w:t>] OR "provider responsiveness"[</w:t>
      </w:r>
      <w:proofErr w:type="spellStart"/>
      <w:r w:rsidRPr="00DE25D1">
        <w:rPr>
          <w:sz w:val="24"/>
          <w:szCs w:val="24"/>
        </w:rPr>
        <w:t>tiab</w:t>
      </w:r>
      <w:proofErr w:type="spellEnd"/>
      <w:r w:rsidRPr="00DE25D1">
        <w:rPr>
          <w:sz w:val="24"/>
          <w:szCs w:val="24"/>
        </w:rPr>
        <w:t>] OR "patient participation"[</w:t>
      </w:r>
      <w:proofErr w:type="spellStart"/>
      <w:r w:rsidRPr="00DE25D1">
        <w:rPr>
          <w:sz w:val="24"/>
          <w:szCs w:val="24"/>
        </w:rPr>
        <w:t>tiab</w:t>
      </w:r>
      <w:proofErr w:type="spellEnd"/>
      <w:r w:rsidRPr="00DE25D1">
        <w:rPr>
          <w:sz w:val="24"/>
          <w:szCs w:val="24"/>
        </w:rPr>
        <w:t>] OR "patient involvement"[</w:t>
      </w:r>
      <w:proofErr w:type="spellStart"/>
      <w:r w:rsidRPr="00DE25D1">
        <w:rPr>
          <w:sz w:val="24"/>
          <w:szCs w:val="24"/>
        </w:rPr>
        <w:t>tiab</w:t>
      </w:r>
      <w:proofErr w:type="spellEnd"/>
      <w:r w:rsidRPr="00DE25D1">
        <w:rPr>
          <w:sz w:val="24"/>
          <w:szCs w:val="24"/>
        </w:rPr>
        <w:t>] OR "patient empowerment"[</w:t>
      </w:r>
      <w:proofErr w:type="spellStart"/>
      <w:r w:rsidRPr="00DE25D1">
        <w:rPr>
          <w:sz w:val="24"/>
          <w:szCs w:val="24"/>
        </w:rPr>
        <w:t>tiab</w:t>
      </w:r>
      <w:proofErr w:type="spellEnd"/>
      <w:r w:rsidRPr="00DE25D1">
        <w:rPr>
          <w:sz w:val="24"/>
          <w:szCs w:val="24"/>
        </w:rPr>
        <w:t>] OR "patient engagement"[</w:t>
      </w:r>
      <w:proofErr w:type="spellStart"/>
      <w:r w:rsidRPr="00DE25D1">
        <w:rPr>
          <w:sz w:val="24"/>
          <w:szCs w:val="24"/>
        </w:rPr>
        <w:t>tiab</w:t>
      </w:r>
      <w:proofErr w:type="spellEnd"/>
      <w:r w:rsidRPr="00DE25D1">
        <w:rPr>
          <w:sz w:val="24"/>
          <w:szCs w:val="24"/>
        </w:rPr>
        <w:t>] OR "patient safety"[</w:t>
      </w:r>
      <w:proofErr w:type="spellStart"/>
      <w:r w:rsidRPr="00DE25D1">
        <w:rPr>
          <w:sz w:val="24"/>
          <w:szCs w:val="24"/>
        </w:rPr>
        <w:t>tiab</w:t>
      </w:r>
      <w:proofErr w:type="spellEnd"/>
      <w:r w:rsidRPr="00DE25D1">
        <w:rPr>
          <w:sz w:val="24"/>
          <w:szCs w:val="24"/>
        </w:rPr>
        <w:t>] OR "quality of health care"[</w:t>
      </w:r>
      <w:proofErr w:type="spellStart"/>
      <w:r w:rsidRPr="00DE25D1">
        <w:rPr>
          <w:sz w:val="24"/>
          <w:szCs w:val="24"/>
        </w:rPr>
        <w:t>tiab</w:t>
      </w:r>
      <w:proofErr w:type="spellEnd"/>
      <w:r w:rsidRPr="00DE25D1">
        <w:rPr>
          <w:sz w:val="24"/>
          <w:szCs w:val="24"/>
        </w:rPr>
        <w:t>] OR "shared decision making"[</w:t>
      </w:r>
      <w:proofErr w:type="spellStart"/>
      <w:r w:rsidRPr="00DE25D1">
        <w:rPr>
          <w:sz w:val="24"/>
          <w:szCs w:val="24"/>
        </w:rPr>
        <w:t>tiab</w:t>
      </w:r>
      <w:proofErr w:type="spellEnd"/>
      <w:r w:rsidRPr="00DE25D1">
        <w:rPr>
          <w:sz w:val="24"/>
          <w:szCs w:val="24"/>
        </w:rPr>
        <w:t>] OR "centering pregnancy"[</w:t>
      </w:r>
      <w:proofErr w:type="spellStart"/>
      <w:r w:rsidRPr="00DE25D1">
        <w:rPr>
          <w:sz w:val="24"/>
          <w:szCs w:val="24"/>
        </w:rPr>
        <w:t>tiab</w:t>
      </w:r>
      <w:proofErr w:type="spellEnd"/>
      <w:r w:rsidRPr="00DE25D1">
        <w:rPr>
          <w:sz w:val="24"/>
          <w:szCs w:val="24"/>
        </w:rPr>
        <w:t>] OR "birth plan"[</w:t>
      </w:r>
      <w:proofErr w:type="spellStart"/>
      <w:r w:rsidRPr="00DE25D1">
        <w:rPr>
          <w:sz w:val="24"/>
          <w:szCs w:val="24"/>
        </w:rPr>
        <w:t>tiab</w:t>
      </w:r>
      <w:proofErr w:type="spellEnd"/>
      <w:r w:rsidRPr="00DE25D1">
        <w:rPr>
          <w:sz w:val="24"/>
          <w:szCs w:val="24"/>
        </w:rPr>
        <w:t>] OR "patient choice"[</w:t>
      </w:r>
      <w:proofErr w:type="spellStart"/>
      <w:r w:rsidRPr="00DE25D1">
        <w:rPr>
          <w:sz w:val="24"/>
          <w:szCs w:val="24"/>
        </w:rPr>
        <w:t>tiab</w:t>
      </w:r>
      <w:proofErr w:type="spellEnd"/>
      <w:r w:rsidRPr="00DE25D1">
        <w:rPr>
          <w:sz w:val="24"/>
          <w:szCs w:val="24"/>
        </w:rPr>
        <w:t>] OR "patient autonomy"[</w:t>
      </w:r>
      <w:proofErr w:type="spellStart"/>
      <w:r w:rsidRPr="00DE25D1">
        <w:rPr>
          <w:sz w:val="24"/>
          <w:szCs w:val="24"/>
        </w:rPr>
        <w:t>tiab</w:t>
      </w:r>
      <w:proofErr w:type="spellEnd"/>
      <w:r w:rsidRPr="00DE25D1">
        <w:rPr>
          <w:sz w:val="24"/>
          <w:szCs w:val="24"/>
        </w:rPr>
        <w:t>] OR "informed consent"[</w:t>
      </w:r>
      <w:proofErr w:type="spellStart"/>
      <w:r w:rsidRPr="00DE25D1">
        <w:rPr>
          <w:sz w:val="24"/>
          <w:szCs w:val="24"/>
        </w:rPr>
        <w:t>tiab</w:t>
      </w:r>
      <w:proofErr w:type="spellEnd"/>
      <w:r w:rsidRPr="00DE25D1">
        <w:rPr>
          <w:sz w:val="24"/>
          <w:szCs w:val="24"/>
        </w:rPr>
        <w:t>]) AND (intervention[</w:t>
      </w:r>
      <w:proofErr w:type="spellStart"/>
      <w:r w:rsidRPr="00DE25D1">
        <w:rPr>
          <w:sz w:val="24"/>
          <w:szCs w:val="24"/>
        </w:rPr>
        <w:t>tiab</w:t>
      </w:r>
      <w:proofErr w:type="spellEnd"/>
      <w:r w:rsidRPr="00DE25D1">
        <w:rPr>
          <w:sz w:val="24"/>
          <w:szCs w:val="24"/>
        </w:rPr>
        <w:t>] OR evaluation[</w:t>
      </w:r>
      <w:proofErr w:type="spellStart"/>
      <w:r w:rsidRPr="00DE25D1">
        <w:rPr>
          <w:sz w:val="24"/>
          <w:szCs w:val="24"/>
        </w:rPr>
        <w:t>tiab</w:t>
      </w:r>
      <w:proofErr w:type="spellEnd"/>
      <w:r w:rsidRPr="00DE25D1">
        <w:rPr>
          <w:sz w:val="24"/>
          <w:szCs w:val="24"/>
        </w:rPr>
        <w:t>] OR program[</w:t>
      </w:r>
      <w:proofErr w:type="spellStart"/>
      <w:r w:rsidRPr="00DE25D1">
        <w:rPr>
          <w:sz w:val="24"/>
          <w:szCs w:val="24"/>
        </w:rPr>
        <w:t>tiab</w:t>
      </w:r>
      <w:proofErr w:type="spellEnd"/>
      <w:r w:rsidRPr="00DE25D1">
        <w:rPr>
          <w:sz w:val="24"/>
          <w:szCs w:val="24"/>
        </w:rPr>
        <w:t>] OR "program evaluation"[</w:t>
      </w:r>
      <w:proofErr w:type="spellStart"/>
      <w:r w:rsidRPr="00DE25D1">
        <w:rPr>
          <w:sz w:val="24"/>
          <w:szCs w:val="24"/>
        </w:rPr>
        <w:t>MeSH</w:t>
      </w:r>
      <w:proofErr w:type="spellEnd"/>
      <w:r w:rsidRPr="00DE25D1">
        <w:rPr>
          <w:sz w:val="24"/>
          <w:szCs w:val="24"/>
        </w:rPr>
        <w:t>] OR "program evalua</w:t>
      </w:r>
      <w:r w:rsidR="0021587B" w:rsidRPr="00DE25D1">
        <w:rPr>
          <w:sz w:val="24"/>
          <w:szCs w:val="24"/>
        </w:rPr>
        <w:t>tion"[</w:t>
      </w:r>
      <w:proofErr w:type="spellStart"/>
      <w:r w:rsidR="0021587B" w:rsidRPr="00DE25D1">
        <w:rPr>
          <w:sz w:val="24"/>
          <w:szCs w:val="24"/>
        </w:rPr>
        <w:t>tiab</w:t>
      </w:r>
      <w:proofErr w:type="spellEnd"/>
      <w:r w:rsidR="0021587B" w:rsidRPr="00DE25D1">
        <w:rPr>
          <w:sz w:val="24"/>
          <w:szCs w:val="24"/>
        </w:rPr>
        <w:t>])))</w:t>
      </w:r>
    </w:p>
    <w:p w14:paraId="5AB6061E" w14:textId="77777777" w:rsidR="00134AF5" w:rsidRDefault="00134AF5" w:rsidP="0021587B">
      <w:pPr>
        <w:rPr>
          <w:sz w:val="24"/>
          <w:szCs w:val="24"/>
        </w:rPr>
      </w:pPr>
    </w:p>
    <w:p w14:paraId="1ABA6950" w14:textId="51A09072" w:rsidR="00134AF5" w:rsidRPr="00134AF5" w:rsidRDefault="001C4858" w:rsidP="008F5BE5">
      <w:pPr>
        <w:pStyle w:val="Heading2"/>
      </w:pPr>
      <w:r>
        <w:t>Gra</w:t>
      </w:r>
      <w:r w:rsidR="00134AF5" w:rsidRPr="00134AF5">
        <w:t>y literature google search of multi-lateral organizations, limited to the first 100 hits ordered by relevance:</w:t>
      </w:r>
    </w:p>
    <w:p w14:paraId="7C66D9CE" w14:textId="760DBF40" w:rsidR="00134AF5" w:rsidRDefault="00134AF5" w:rsidP="00134AF5">
      <w:pPr>
        <w:rPr>
          <w:sz w:val="24"/>
          <w:szCs w:val="24"/>
        </w:rPr>
      </w:pPr>
      <w:r w:rsidRPr="00134AF5">
        <w:rPr>
          <w:sz w:val="24"/>
          <w:szCs w:val="24"/>
        </w:rPr>
        <w:t xml:space="preserve">United Nations Fund for Population, United Nations Development Fund for Women, African Development Bank, Asian Development Bank, United Kingdom’s Department for International Development, </w:t>
      </w:r>
      <w:r w:rsidRPr="00134AF5">
        <w:rPr>
          <w:bCs/>
          <w:sz w:val="24"/>
          <w:szCs w:val="24"/>
        </w:rPr>
        <w:t>United States Agency for International Development</w:t>
      </w:r>
      <w:r w:rsidRPr="00134AF5">
        <w:rPr>
          <w:sz w:val="24"/>
          <w:szCs w:val="24"/>
        </w:rPr>
        <w:t xml:space="preserve">, World Bank, World Health Organization Institute for Healthcare Improvement, The International Committee for Research on Women, Population Council, The Global Fund for Women, The Hewlett Foundation, The Packard Foundation, The </w:t>
      </w:r>
      <w:proofErr w:type="spellStart"/>
      <w:r w:rsidRPr="00134AF5">
        <w:rPr>
          <w:sz w:val="24"/>
          <w:szCs w:val="24"/>
        </w:rPr>
        <w:t>Guttmacher</w:t>
      </w:r>
      <w:proofErr w:type="spellEnd"/>
      <w:r w:rsidRPr="00134AF5">
        <w:rPr>
          <w:sz w:val="24"/>
          <w:szCs w:val="24"/>
        </w:rPr>
        <w:t xml:space="preserve"> Institute</w:t>
      </w:r>
      <w:r w:rsidR="00FA1FA9">
        <w:rPr>
          <w:sz w:val="24"/>
          <w:szCs w:val="24"/>
        </w:rPr>
        <w:t>,</w:t>
      </w:r>
      <w:r w:rsidRPr="00134AF5">
        <w:rPr>
          <w:sz w:val="24"/>
          <w:szCs w:val="24"/>
        </w:rPr>
        <w:t xml:space="preserve"> ANSIRH, </w:t>
      </w:r>
      <w:proofErr w:type="spellStart"/>
      <w:r w:rsidRPr="00134AF5">
        <w:rPr>
          <w:sz w:val="24"/>
          <w:szCs w:val="24"/>
        </w:rPr>
        <w:t>Ipas</w:t>
      </w:r>
      <w:proofErr w:type="spellEnd"/>
      <w:r w:rsidRPr="00134AF5">
        <w:rPr>
          <w:sz w:val="24"/>
          <w:szCs w:val="24"/>
        </w:rPr>
        <w:t xml:space="preserve">, Ibis, Gates Foundation, </w:t>
      </w:r>
      <w:proofErr w:type="spellStart"/>
      <w:r w:rsidRPr="00134AF5">
        <w:rPr>
          <w:sz w:val="24"/>
          <w:szCs w:val="24"/>
        </w:rPr>
        <w:t>Jhpiego</w:t>
      </w:r>
      <w:proofErr w:type="spellEnd"/>
      <w:r w:rsidRPr="00134AF5">
        <w:rPr>
          <w:sz w:val="24"/>
          <w:szCs w:val="24"/>
        </w:rPr>
        <w:t>, Engender Health, IPPF, Marie Stopes International, Population Services International</w:t>
      </w:r>
    </w:p>
    <w:p w14:paraId="086EF609" w14:textId="23E16D72" w:rsidR="00FA1FA9" w:rsidRDefault="00FA1FA9">
      <w:pPr>
        <w:tabs>
          <w:tab w:val="clear" w:pos="510"/>
          <w:tab w:val="clear" w:pos="1411"/>
        </w:tabs>
        <w:spacing w:after="160" w:line="259" w:lineRule="auto"/>
        <w:rPr>
          <w:sz w:val="24"/>
          <w:szCs w:val="24"/>
        </w:rPr>
      </w:pPr>
      <w:r>
        <w:rPr>
          <w:sz w:val="24"/>
          <w:szCs w:val="24"/>
        </w:rPr>
        <w:br w:type="page"/>
      </w:r>
    </w:p>
    <w:p w14:paraId="1A306E68" w14:textId="6E883344" w:rsidR="00FA1FA9" w:rsidRDefault="00FA1FA9" w:rsidP="00156BCF">
      <w:pPr>
        <w:pStyle w:val="Heading1"/>
      </w:pPr>
      <w:r>
        <w:lastRenderedPageBreak/>
        <w:t xml:space="preserve">Figure </w:t>
      </w:r>
      <w:r w:rsidR="00B053C4">
        <w:t>S</w:t>
      </w:r>
      <w:r>
        <w:t>1</w:t>
      </w:r>
      <w:r w:rsidR="00156BCF">
        <w:t xml:space="preserve">. </w:t>
      </w:r>
      <w:r w:rsidR="00156BCF" w:rsidRPr="00156BCF">
        <w:t>Summary of risk of bias assessment of included studies</w:t>
      </w:r>
    </w:p>
    <w:p w14:paraId="3046DCAC" w14:textId="2C008052" w:rsidR="00FA1FA9" w:rsidRDefault="00030473" w:rsidP="00AA2950">
      <w:r>
        <w:rPr>
          <w:noProof/>
          <w:lang w:eastAsia="en-US"/>
        </w:rPr>
        <w:drawing>
          <wp:inline distT="0" distB="0" distL="0" distR="0" wp14:anchorId="1AA7F867" wp14:editId="586DF745">
            <wp:extent cx="9144000" cy="2668270"/>
            <wp:effectExtent l="0" t="0" r="0"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A47A4AE" w14:textId="1985675A" w:rsidR="00AA2950" w:rsidRDefault="00AA2950" w:rsidP="00AA2950"/>
    <w:p w14:paraId="2DDAADC1" w14:textId="77777777" w:rsidR="00AA2950" w:rsidRDefault="00AA2950" w:rsidP="00AA2950"/>
    <w:p w14:paraId="0C584736" w14:textId="4F3B310D" w:rsidR="00FA1FA9" w:rsidRDefault="00156BCF" w:rsidP="00AA2950">
      <w:pPr>
        <w:pStyle w:val="Heading1"/>
        <w:rPr>
          <w:lang w:eastAsia="en-US"/>
        </w:rPr>
      </w:pPr>
      <w:r>
        <w:t xml:space="preserve">Table </w:t>
      </w:r>
      <w:r w:rsidR="00B053C4">
        <w:t>S</w:t>
      </w:r>
      <w:r>
        <w:t xml:space="preserve">2. </w:t>
      </w:r>
      <w:r w:rsidRPr="00156BCF">
        <w:rPr>
          <w:lang w:eastAsia="en-US"/>
        </w:rPr>
        <w:t>Summary</w:t>
      </w:r>
      <w:r>
        <w:rPr>
          <w:lang w:eastAsia="en-US"/>
        </w:rPr>
        <w:t xml:space="preserve"> of</w:t>
      </w:r>
      <w:r w:rsidRPr="00156BCF">
        <w:rPr>
          <w:lang w:eastAsia="en-US"/>
        </w:rPr>
        <w:t xml:space="preserve"> critical appraisal of all included qualitative studies</w:t>
      </w:r>
    </w:p>
    <w:p w14:paraId="6B68D9FC" w14:textId="77777777" w:rsidR="00AA2950" w:rsidRPr="00AA2950" w:rsidRDefault="00AA2950" w:rsidP="00AA2950">
      <w:pPr>
        <w:rPr>
          <w:lang w:eastAsia="en-US"/>
        </w:rPr>
      </w:pPr>
    </w:p>
    <w:tbl>
      <w:tblPr>
        <w:tblW w:w="7700" w:type="dxa"/>
        <w:tblLook w:val="04A0" w:firstRow="1" w:lastRow="0" w:firstColumn="1" w:lastColumn="0" w:noHBand="0" w:noVBand="1"/>
      </w:tblPr>
      <w:tblGrid>
        <w:gridCol w:w="4760"/>
        <w:gridCol w:w="980"/>
        <w:gridCol w:w="980"/>
        <w:gridCol w:w="980"/>
      </w:tblGrid>
      <w:tr w:rsidR="005C79D9" w:rsidRPr="005C79D9" w14:paraId="74A1C337" w14:textId="77777777" w:rsidTr="005C79D9">
        <w:trPr>
          <w:trHeight w:val="630"/>
        </w:trPr>
        <w:tc>
          <w:tcPr>
            <w:tcW w:w="4760" w:type="dxa"/>
            <w:tcBorders>
              <w:top w:val="single" w:sz="8" w:space="0" w:color="000000"/>
              <w:left w:val="single" w:sz="8" w:space="0" w:color="000000"/>
              <w:bottom w:val="single" w:sz="8" w:space="0" w:color="000000"/>
              <w:right w:val="single" w:sz="8" w:space="0" w:color="000000"/>
            </w:tcBorders>
            <w:shd w:val="clear" w:color="000000" w:fill="D9D9D9"/>
            <w:vAlign w:val="bottom"/>
            <w:hideMark/>
          </w:tcPr>
          <w:p w14:paraId="4DDE20B1" w14:textId="77777777" w:rsidR="005C79D9" w:rsidRPr="005C79D9" w:rsidRDefault="005C79D9" w:rsidP="005C79D9">
            <w:pPr>
              <w:tabs>
                <w:tab w:val="clear" w:pos="510"/>
                <w:tab w:val="clear" w:pos="1411"/>
              </w:tabs>
              <w:rPr>
                <w:rFonts w:ascii="Calibri" w:hAnsi="Calibri" w:cs="Calibri"/>
                <w:b/>
                <w:bCs/>
                <w:lang w:eastAsia="en-US"/>
              </w:rPr>
            </w:pPr>
            <w:r w:rsidRPr="005C79D9">
              <w:rPr>
                <w:rFonts w:ascii="Calibri" w:hAnsi="Calibri" w:cs="Calibri"/>
                <w:b/>
                <w:bCs/>
                <w:lang w:eastAsia="en-US"/>
              </w:rPr>
              <w:t>Summary critical appraisal of all included qualitative studies</w:t>
            </w:r>
          </w:p>
        </w:tc>
        <w:tc>
          <w:tcPr>
            <w:tcW w:w="980" w:type="dxa"/>
            <w:tcBorders>
              <w:top w:val="single" w:sz="4" w:space="0" w:color="auto"/>
              <w:left w:val="single" w:sz="4" w:space="0" w:color="auto"/>
              <w:bottom w:val="single" w:sz="4" w:space="0" w:color="auto"/>
              <w:right w:val="single" w:sz="4" w:space="0" w:color="auto"/>
            </w:tcBorders>
            <w:shd w:val="clear" w:color="000000" w:fill="538DD5"/>
            <w:vAlign w:val="bottom"/>
            <w:hideMark/>
          </w:tcPr>
          <w:p w14:paraId="5D99089B" w14:textId="77777777" w:rsidR="005C79D9" w:rsidRPr="005C79D9" w:rsidRDefault="005C79D9" w:rsidP="005C79D9">
            <w:pPr>
              <w:tabs>
                <w:tab w:val="clear" w:pos="510"/>
                <w:tab w:val="clear" w:pos="1411"/>
              </w:tabs>
              <w:rPr>
                <w:rFonts w:ascii="Calibri" w:hAnsi="Calibri" w:cs="Calibri"/>
                <w:i/>
                <w:iCs/>
                <w:sz w:val="24"/>
                <w:szCs w:val="24"/>
                <w:lang w:eastAsia="en-US"/>
              </w:rPr>
            </w:pPr>
            <w:r w:rsidRPr="005C79D9">
              <w:rPr>
                <w:rFonts w:ascii="Calibri" w:hAnsi="Calibri" w:cs="Calibri"/>
                <w:i/>
                <w:iCs/>
                <w:sz w:val="24"/>
                <w:szCs w:val="24"/>
                <w:lang w:eastAsia="en-US"/>
              </w:rPr>
              <w:t>Yes</w:t>
            </w:r>
          </w:p>
        </w:tc>
        <w:tc>
          <w:tcPr>
            <w:tcW w:w="980" w:type="dxa"/>
            <w:tcBorders>
              <w:top w:val="nil"/>
              <w:left w:val="single" w:sz="8" w:space="0" w:color="000000"/>
              <w:bottom w:val="nil"/>
              <w:right w:val="single" w:sz="8" w:space="0" w:color="000000"/>
            </w:tcBorders>
            <w:shd w:val="clear" w:color="000000" w:fill="538DD5"/>
            <w:vAlign w:val="bottom"/>
            <w:hideMark/>
          </w:tcPr>
          <w:p w14:paraId="52EC0823" w14:textId="77777777" w:rsidR="005C79D9" w:rsidRPr="005C79D9" w:rsidRDefault="005C79D9" w:rsidP="005C79D9">
            <w:pPr>
              <w:tabs>
                <w:tab w:val="clear" w:pos="510"/>
                <w:tab w:val="clear" w:pos="1411"/>
              </w:tabs>
              <w:rPr>
                <w:rFonts w:ascii="Calibri" w:hAnsi="Calibri" w:cs="Calibri"/>
                <w:i/>
                <w:iCs/>
                <w:sz w:val="24"/>
                <w:szCs w:val="24"/>
                <w:lang w:eastAsia="en-US"/>
              </w:rPr>
            </w:pPr>
            <w:r w:rsidRPr="005C79D9">
              <w:rPr>
                <w:rFonts w:ascii="Calibri" w:hAnsi="Calibri" w:cs="Calibri"/>
                <w:i/>
                <w:iCs/>
                <w:sz w:val="24"/>
                <w:szCs w:val="24"/>
                <w:lang w:eastAsia="en-US"/>
              </w:rPr>
              <w:t>Can't tell</w:t>
            </w:r>
          </w:p>
        </w:tc>
        <w:tc>
          <w:tcPr>
            <w:tcW w:w="980" w:type="dxa"/>
            <w:tcBorders>
              <w:top w:val="nil"/>
              <w:left w:val="nil"/>
              <w:bottom w:val="nil"/>
              <w:right w:val="single" w:sz="8" w:space="0" w:color="000000"/>
            </w:tcBorders>
            <w:shd w:val="clear" w:color="000000" w:fill="538DD5"/>
            <w:vAlign w:val="bottom"/>
            <w:hideMark/>
          </w:tcPr>
          <w:p w14:paraId="4400FAC9" w14:textId="77777777" w:rsidR="005C79D9" w:rsidRPr="005C79D9" w:rsidRDefault="005C79D9" w:rsidP="005C79D9">
            <w:pPr>
              <w:tabs>
                <w:tab w:val="clear" w:pos="510"/>
                <w:tab w:val="clear" w:pos="1411"/>
              </w:tabs>
              <w:rPr>
                <w:rFonts w:ascii="Calibri" w:hAnsi="Calibri" w:cs="Calibri"/>
                <w:i/>
                <w:iCs/>
                <w:sz w:val="24"/>
                <w:szCs w:val="24"/>
                <w:lang w:eastAsia="en-US"/>
              </w:rPr>
            </w:pPr>
            <w:r w:rsidRPr="005C79D9">
              <w:rPr>
                <w:rFonts w:ascii="Calibri" w:hAnsi="Calibri" w:cs="Calibri"/>
                <w:i/>
                <w:iCs/>
                <w:sz w:val="24"/>
                <w:szCs w:val="24"/>
                <w:lang w:eastAsia="en-US"/>
              </w:rPr>
              <w:t>No</w:t>
            </w:r>
          </w:p>
        </w:tc>
      </w:tr>
      <w:tr w:rsidR="005C79D9" w:rsidRPr="005C79D9" w14:paraId="7B2E141B" w14:textId="77777777" w:rsidTr="005C79D9">
        <w:trPr>
          <w:trHeight w:val="320"/>
        </w:trPr>
        <w:tc>
          <w:tcPr>
            <w:tcW w:w="4760" w:type="dxa"/>
            <w:tcBorders>
              <w:top w:val="nil"/>
              <w:left w:val="nil"/>
              <w:bottom w:val="single" w:sz="8" w:space="0" w:color="000000"/>
              <w:right w:val="single" w:sz="8" w:space="0" w:color="000000"/>
            </w:tcBorders>
            <w:shd w:val="clear" w:color="000000" w:fill="D9D9D9"/>
            <w:vAlign w:val="bottom"/>
            <w:hideMark/>
          </w:tcPr>
          <w:p w14:paraId="7CCAF8C8" w14:textId="77777777" w:rsidR="005C79D9" w:rsidRPr="005C79D9" w:rsidRDefault="005C79D9" w:rsidP="005C79D9">
            <w:pPr>
              <w:tabs>
                <w:tab w:val="clear" w:pos="510"/>
                <w:tab w:val="clear" w:pos="1411"/>
              </w:tabs>
              <w:rPr>
                <w:rFonts w:ascii="Calibri" w:hAnsi="Calibri" w:cs="Calibri"/>
                <w:b/>
                <w:bCs/>
                <w:lang w:eastAsia="en-US"/>
              </w:rPr>
            </w:pPr>
            <w:r w:rsidRPr="005C79D9">
              <w:rPr>
                <w:rFonts w:ascii="Calibri" w:hAnsi="Calibri" w:cs="Calibri"/>
                <w:b/>
                <w:bCs/>
                <w:lang w:eastAsia="en-US"/>
              </w:rPr>
              <w:t>Clear statement of study aims</w:t>
            </w:r>
          </w:p>
        </w:tc>
        <w:tc>
          <w:tcPr>
            <w:tcW w:w="980" w:type="dxa"/>
            <w:tcBorders>
              <w:top w:val="nil"/>
              <w:left w:val="single" w:sz="4" w:space="0" w:color="auto"/>
              <w:bottom w:val="single" w:sz="4" w:space="0" w:color="auto"/>
              <w:right w:val="single" w:sz="4" w:space="0" w:color="auto"/>
            </w:tcBorders>
            <w:shd w:val="clear" w:color="000000" w:fill="538DD5"/>
            <w:noWrap/>
            <w:vAlign w:val="bottom"/>
            <w:hideMark/>
          </w:tcPr>
          <w:p w14:paraId="11B70EC4"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100%</w:t>
            </w:r>
          </w:p>
        </w:tc>
        <w:tc>
          <w:tcPr>
            <w:tcW w:w="980" w:type="dxa"/>
            <w:tcBorders>
              <w:top w:val="single" w:sz="4" w:space="0" w:color="auto"/>
              <w:left w:val="nil"/>
              <w:bottom w:val="single" w:sz="4" w:space="0" w:color="auto"/>
              <w:right w:val="single" w:sz="4" w:space="0" w:color="auto"/>
            </w:tcBorders>
            <w:shd w:val="clear" w:color="000000" w:fill="538DD5"/>
            <w:noWrap/>
            <w:vAlign w:val="bottom"/>
            <w:hideMark/>
          </w:tcPr>
          <w:p w14:paraId="36BE1D4A"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0%</w:t>
            </w:r>
          </w:p>
        </w:tc>
        <w:tc>
          <w:tcPr>
            <w:tcW w:w="980" w:type="dxa"/>
            <w:tcBorders>
              <w:top w:val="single" w:sz="4" w:space="0" w:color="auto"/>
              <w:left w:val="nil"/>
              <w:bottom w:val="single" w:sz="4" w:space="0" w:color="auto"/>
              <w:right w:val="single" w:sz="4" w:space="0" w:color="auto"/>
            </w:tcBorders>
            <w:shd w:val="clear" w:color="000000" w:fill="538DD5"/>
            <w:noWrap/>
            <w:vAlign w:val="bottom"/>
            <w:hideMark/>
          </w:tcPr>
          <w:p w14:paraId="3676808B"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0%</w:t>
            </w:r>
          </w:p>
        </w:tc>
      </w:tr>
      <w:tr w:rsidR="005C79D9" w:rsidRPr="005C79D9" w14:paraId="29C8895F" w14:textId="77777777" w:rsidTr="005C79D9">
        <w:trPr>
          <w:trHeight w:val="320"/>
        </w:trPr>
        <w:tc>
          <w:tcPr>
            <w:tcW w:w="4760" w:type="dxa"/>
            <w:tcBorders>
              <w:top w:val="nil"/>
              <w:left w:val="nil"/>
              <w:bottom w:val="single" w:sz="8" w:space="0" w:color="000000"/>
              <w:right w:val="single" w:sz="8" w:space="0" w:color="000000"/>
            </w:tcBorders>
            <w:shd w:val="clear" w:color="000000" w:fill="D9D9D9"/>
            <w:vAlign w:val="bottom"/>
            <w:hideMark/>
          </w:tcPr>
          <w:p w14:paraId="31C6582E" w14:textId="77777777" w:rsidR="005C79D9" w:rsidRPr="005C79D9" w:rsidRDefault="005C79D9" w:rsidP="005C79D9">
            <w:pPr>
              <w:tabs>
                <w:tab w:val="clear" w:pos="510"/>
                <w:tab w:val="clear" w:pos="1411"/>
              </w:tabs>
              <w:rPr>
                <w:rFonts w:ascii="Calibri" w:hAnsi="Calibri" w:cs="Calibri"/>
                <w:b/>
                <w:bCs/>
                <w:lang w:eastAsia="en-US"/>
              </w:rPr>
            </w:pPr>
            <w:r w:rsidRPr="005C79D9">
              <w:rPr>
                <w:rFonts w:ascii="Calibri" w:hAnsi="Calibri" w:cs="Calibri"/>
                <w:b/>
                <w:bCs/>
                <w:lang w:eastAsia="en-US"/>
              </w:rPr>
              <w:t>Appropriate qualitative methodology</w:t>
            </w:r>
          </w:p>
        </w:tc>
        <w:tc>
          <w:tcPr>
            <w:tcW w:w="980" w:type="dxa"/>
            <w:tcBorders>
              <w:top w:val="nil"/>
              <w:left w:val="single" w:sz="4" w:space="0" w:color="auto"/>
              <w:bottom w:val="single" w:sz="4" w:space="0" w:color="auto"/>
              <w:right w:val="single" w:sz="4" w:space="0" w:color="auto"/>
            </w:tcBorders>
            <w:shd w:val="clear" w:color="000000" w:fill="538DD5"/>
            <w:noWrap/>
            <w:vAlign w:val="bottom"/>
            <w:hideMark/>
          </w:tcPr>
          <w:p w14:paraId="2131A6AB"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100%</w:t>
            </w:r>
          </w:p>
        </w:tc>
        <w:tc>
          <w:tcPr>
            <w:tcW w:w="980" w:type="dxa"/>
            <w:tcBorders>
              <w:top w:val="nil"/>
              <w:left w:val="nil"/>
              <w:bottom w:val="single" w:sz="4" w:space="0" w:color="auto"/>
              <w:right w:val="single" w:sz="4" w:space="0" w:color="auto"/>
            </w:tcBorders>
            <w:shd w:val="clear" w:color="000000" w:fill="538DD5"/>
            <w:noWrap/>
            <w:vAlign w:val="bottom"/>
            <w:hideMark/>
          </w:tcPr>
          <w:p w14:paraId="08D3AC51"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0%</w:t>
            </w:r>
          </w:p>
        </w:tc>
        <w:tc>
          <w:tcPr>
            <w:tcW w:w="980" w:type="dxa"/>
            <w:tcBorders>
              <w:top w:val="nil"/>
              <w:left w:val="nil"/>
              <w:bottom w:val="single" w:sz="4" w:space="0" w:color="auto"/>
              <w:right w:val="single" w:sz="4" w:space="0" w:color="auto"/>
            </w:tcBorders>
            <w:shd w:val="clear" w:color="000000" w:fill="538DD5"/>
            <w:noWrap/>
            <w:vAlign w:val="bottom"/>
            <w:hideMark/>
          </w:tcPr>
          <w:p w14:paraId="3B8649C3"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0%</w:t>
            </w:r>
          </w:p>
        </w:tc>
      </w:tr>
      <w:tr w:rsidR="005C79D9" w:rsidRPr="005C79D9" w14:paraId="1D6C3DF6" w14:textId="77777777" w:rsidTr="005C79D9">
        <w:trPr>
          <w:trHeight w:val="320"/>
        </w:trPr>
        <w:tc>
          <w:tcPr>
            <w:tcW w:w="4760" w:type="dxa"/>
            <w:tcBorders>
              <w:top w:val="nil"/>
              <w:left w:val="nil"/>
              <w:bottom w:val="single" w:sz="8" w:space="0" w:color="000000"/>
              <w:right w:val="single" w:sz="8" w:space="0" w:color="000000"/>
            </w:tcBorders>
            <w:shd w:val="clear" w:color="000000" w:fill="D9D9D9"/>
            <w:vAlign w:val="bottom"/>
            <w:hideMark/>
          </w:tcPr>
          <w:p w14:paraId="0D4AB896" w14:textId="77777777" w:rsidR="005C79D9" w:rsidRPr="005C79D9" w:rsidRDefault="005C79D9" w:rsidP="005C79D9">
            <w:pPr>
              <w:tabs>
                <w:tab w:val="clear" w:pos="510"/>
                <w:tab w:val="clear" w:pos="1411"/>
              </w:tabs>
              <w:rPr>
                <w:rFonts w:ascii="Calibri" w:hAnsi="Calibri" w:cs="Calibri"/>
                <w:b/>
                <w:bCs/>
                <w:lang w:eastAsia="en-US"/>
              </w:rPr>
            </w:pPr>
            <w:r w:rsidRPr="005C79D9">
              <w:rPr>
                <w:rFonts w:ascii="Calibri" w:hAnsi="Calibri" w:cs="Calibri"/>
                <w:b/>
                <w:bCs/>
                <w:lang w:eastAsia="en-US"/>
              </w:rPr>
              <w:t>Appropriate research design</w:t>
            </w:r>
          </w:p>
        </w:tc>
        <w:tc>
          <w:tcPr>
            <w:tcW w:w="980" w:type="dxa"/>
            <w:tcBorders>
              <w:top w:val="nil"/>
              <w:left w:val="single" w:sz="4" w:space="0" w:color="auto"/>
              <w:bottom w:val="single" w:sz="4" w:space="0" w:color="auto"/>
              <w:right w:val="single" w:sz="4" w:space="0" w:color="auto"/>
            </w:tcBorders>
            <w:shd w:val="clear" w:color="000000" w:fill="538DD5"/>
            <w:noWrap/>
            <w:vAlign w:val="bottom"/>
            <w:hideMark/>
          </w:tcPr>
          <w:p w14:paraId="06981961"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100%</w:t>
            </w:r>
          </w:p>
        </w:tc>
        <w:tc>
          <w:tcPr>
            <w:tcW w:w="980" w:type="dxa"/>
            <w:tcBorders>
              <w:top w:val="nil"/>
              <w:left w:val="nil"/>
              <w:bottom w:val="single" w:sz="4" w:space="0" w:color="auto"/>
              <w:right w:val="single" w:sz="4" w:space="0" w:color="auto"/>
            </w:tcBorders>
            <w:shd w:val="clear" w:color="000000" w:fill="538DD5"/>
            <w:noWrap/>
            <w:vAlign w:val="bottom"/>
            <w:hideMark/>
          </w:tcPr>
          <w:p w14:paraId="14124B46"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0%</w:t>
            </w:r>
          </w:p>
        </w:tc>
        <w:tc>
          <w:tcPr>
            <w:tcW w:w="980" w:type="dxa"/>
            <w:tcBorders>
              <w:top w:val="nil"/>
              <w:left w:val="nil"/>
              <w:bottom w:val="single" w:sz="4" w:space="0" w:color="auto"/>
              <w:right w:val="single" w:sz="4" w:space="0" w:color="auto"/>
            </w:tcBorders>
            <w:shd w:val="clear" w:color="000000" w:fill="538DD5"/>
            <w:noWrap/>
            <w:vAlign w:val="bottom"/>
            <w:hideMark/>
          </w:tcPr>
          <w:p w14:paraId="1CDE7647"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0%</w:t>
            </w:r>
          </w:p>
        </w:tc>
      </w:tr>
      <w:tr w:rsidR="005C79D9" w:rsidRPr="005C79D9" w14:paraId="19E44309" w14:textId="77777777" w:rsidTr="005C79D9">
        <w:trPr>
          <w:trHeight w:val="320"/>
        </w:trPr>
        <w:tc>
          <w:tcPr>
            <w:tcW w:w="4760" w:type="dxa"/>
            <w:tcBorders>
              <w:top w:val="nil"/>
              <w:left w:val="nil"/>
              <w:bottom w:val="single" w:sz="8" w:space="0" w:color="000000"/>
              <w:right w:val="single" w:sz="8" w:space="0" w:color="000000"/>
            </w:tcBorders>
            <w:shd w:val="clear" w:color="000000" w:fill="D9D9D9"/>
            <w:vAlign w:val="bottom"/>
            <w:hideMark/>
          </w:tcPr>
          <w:p w14:paraId="5C91DABC" w14:textId="77777777" w:rsidR="005C79D9" w:rsidRPr="005C79D9" w:rsidRDefault="005C79D9" w:rsidP="005C79D9">
            <w:pPr>
              <w:tabs>
                <w:tab w:val="clear" w:pos="510"/>
                <w:tab w:val="clear" w:pos="1411"/>
              </w:tabs>
              <w:rPr>
                <w:rFonts w:ascii="Calibri" w:hAnsi="Calibri" w:cs="Calibri"/>
                <w:b/>
                <w:bCs/>
                <w:lang w:eastAsia="en-US"/>
              </w:rPr>
            </w:pPr>
            <w:r w:rsidRPr="005C79D9">
              <w:rPr>
                <w:rFonts w:ascii="Calibri" w:hAnsi="Calibri" w:cs="Calibri"/>
                <w:b/>
                <w:bCs/>
                <w:lang w:eastAsia="en-US"/>
              </w:rPr>
              <w:t>Appropriate recruitment strategy</w:t>
            </w:r>
          </w:p>
        </w:tc>
        <w:tc>
          <w:tcPr>
            <w:tcW w:w="980" w:type="dxa"/>
            <w:tcBorders>
              <w:top w:val="nil"/>
              <w:left w:val="single" w:sz="4" w:space="0" w:color="auto"/>
              <w:bottom w:val="single" w:sz="4" w:space="0" w:color="auto"/>
              <w:right w:val="single" w:sz="4" w:space="0" w:color="auto"/>
            </w:tcBorders>
            <w:shd w:val="clear" w:color="000000" w:fill="538DD5"/>
            <w:noWrap/>
            <w:vAlign w:val="bottom"/>
            <w:hideMark/>
          </w:tcPr>
          <w:p w14:paraId="62814C5D"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100%</w:t>
            </w:r>
          </w:p>
        </w:tc>
        <w:tc>
          <w:tcPr>
            <w:tcW w:w="980" w:type="dxa"/>
            <w:tcBorders>
              <w:top w:val="nil"/>
              <w:left w:val="nil"/>
              <w:bottom w:val="single" w:sz="4" w:space="0" w:color="auto"/>
              <w:right w:val="single" w:sz="4" w:space="0" w:color="auto"/>
            </w:tcBorders>
            <w:shd w:val="clear" w:color="000000" w:fill="538DD5"/>
            <w:noWrap/>
            <w:vAlign w:val="bottom"/>
            <w:hideMark/>
          </w:tcPr>
          <w:p w14:paraId="155B8579"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0%</w:t>
            </w:r>
          </w:p>
        </w:tc>
        <w:tc>
          <w:tcPr>
            <w:tcW w:w="980" w:type="dxa"/>
            <w:tcBorders>
              <w:top w:val="nil"/>
              <w:left w:val="nil"/>
              <w:bottom w:val="single" w:sz="4" w:space="0" w:color="auto"/>
              <w:right w:val="single" w:sz="4" w:space="0" w:color="auto"/>
            </w:tcBorders>
            <w:shd w:val="clear" w:color="000000" w:fill="538DD5"/>
            <w:noWrap/>
            <w:vAlign w:val="bottom"/>
            <w:hideMark/>
          </w:tcPr>
          <w:p w14:paraId="731C25D5"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0%</w:t>
            </w:r>
          </w:p>
        </w:tc>
      </w:tr>
      <w:tr w:rsidR="005C79D9" w:rsidRPr="005C79D9" w14:paraId="6913A697" w14:textId="77777777" w:rsidTr="005C79D9">
        <w:trPr>
          <w:trHeight w:val="320"/>
        </w:trPr>
        <w:tc>
          <w:tcPr>
            <w:tcW w:w="4760" w:type="dxa"/>
            <w:tcBorders>
              <w:top w:val="nil"/>
              <w:left w:val="nil"/>
              <w:bottom w:val="single" w:sz="8" w:space="0" w:color="000000"/>
              <w:right w:val="single" w:sz="8" w:space="0" w:color="000000"/>
            </w:tcBorders>
            <w:shd w:val="clear" w:color="000000" w:fill="D9D9D9"/>
            <w:vAlign w:val="bottom"/>
            <w:hideMark/>
          </w:tcPr>
          <w:p w14:paraId="64EC5E0C" w14:textId="77777777" w:rsidR="005C79D9" w:rsidRPr="005C79D9" w:rsidRDefault="005C79D9" w:rsidP="005C79D9">
            <w:pPr>
              <w:tabs>
                <w:tab w:val="clear" w:pos="510"/>
                <w:tab w:val="clear" w:pos="1411"/>
              </w:tabs>
              <w:rPr>
                <w:rFonts w:ascii="Calibri" w:hAnsi="Calibri" w:cs="Calibri"/>
                <w:b/>
                <w:bCs/>
                <w:lang w:eastAsia="en-US"/>
              </w:rPr>
            </w:pPr>
            <w:r w:rsidRPr="005C79D9">
              <w:rPr>
                <w:rFonts w:ascii="Calibri" w:hAnsi="Calibri" w:cs="Calibri"/>
                <w:b/>
                <w:bCs/>
                <w:lang w:eastAsia="en-US"/>
              </w:rPr>
              <w:t>Appropriate data collection method</w:t>
            </w:r>
          </w:p>
        </w:tc>
        <w:tc>
          <w:tcPr>
            <w:tcW w:w="980" w:type="dxa"/>
            <w:tcBorders>
              <w:top w:val="nil"/>
              <w:left w:val="single" w:sz="4" w:space="0" w:color="auto"/>
              <w:bottom w:val="single" w:sz="4" w:space="0" w:color="auto"/>
              <w:right w:val="single" w:sz="4" w:space="0" w:color="auto"/>
            </w:tcBorders>
            <w:shd w:val="clear" w:color="000000" w:fill="538DD5"/>
            <w:noWrap/>
            <w:vAlign w:val="bottom"/>
            <w:hideMark/>
          </w:tcPr>
          <w:p w14:paraId="5AE0F1E3"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100%</w:t>
            </w:r>
          </w:p>
        </w:tc>
        <w:tc>
          <w:tcPr>
            <w:tcW w:w="980" w:type="dxa"/>
            <w:tcBorders>
              <w:top w:val="nil"/>
              <w:left w:val="nil"/>
              <w:bottom w:val="single" w:sz="4" w:space="0" w:color="auto"/>
              <w:right w:val="single" w:sz="4" w:space="0" w:color="auto"/>
            </w:tcBorders>
            <w:shd w:val="clear" w:color="000000" w:fill="538DD5"/>
            <w:noWrap/>
            <w:vAlign w:val="bottom"/>
            <w:hideMark/>
          </w:tcPr>
          <w:p w14:paraId="02AC7127"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0%</w:t>
            </w:r>
          </w:p>
        </w:tc>
        <w:tc>
          <w:tcPr>
            <w:tcW w:w="980" w:type="dxa"/>
            <w:tcBorders>
              <w:top w:val="nil"/>
              <w:left w:val="nil"/>
              <w:bottom w:val="single" w:sz="4" w:space="0" w:color="auto"/>
              <w:right w:val="single" w:sz="4" w:space="0" w:color="auto"/>
            </w:tcBorders>
            <w:shd w:val="clear" w:color="000000" w:fill="538DD5"/>
            <w:noWrap/>
            <w:vAlign w:val="bottom"/>
            <w:hideMark/>
          </w:tcPr>
          <w:p w14:paraId="2C7D96EC"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0%</w:t>
            </w:r>
          </w:p>
        </w:tc>
      </w:tr>
      <w:tr w:rsidR="005C79D9" w:rsidRPr="005C79D9" w14:paraId="3DDB0317" w14:textId="77777777" w:rsidTr="005C79D9">
        <w:trPr>
          <w:trHeight w:val="320"/>
        </w:trPr>
        <w:tc>
          <w:tcPr>
            <w:tcW w:w="4760" w:type="dxa"/>
            <w:tcBorders>
              <w:top w:val="nil"/>
              <w:left w:val="nil"/>
              <w:bottom w:val="single" w:sz="8" w:space="0" w:color="000000"/>
              <w:right w:val="single" w:sz="8" w:space="0" w:color="000000"/>
            </w:tcBorders>
            <w:shd w:val="clear" w:color="000000" w:fill="D9D9D9"/>
            <w:vAlign w:val="bottom"/>
            <w:hideMark/>
          </w:tcPr>
          <w:p w14:paraId="31EACAF2" w14:textId="77777777" w:rsidR="005C79D9" w:rsidRPr="005C79D9" w:rsidRDefault="005C79D9" w:rsidP="005C79D9">
            <w:pPr>
              <w:tabs>
                <w:tab w:val="clear" w:pos="510"/>
                <w:tab w:val="clear" w:pos="1411"/>
              </w:tabs>
              <w:rPr>
                <w:rFonts w:ascii="Calibri" w:hAnsi="Calibri" w:cs="Calibri"/>
                <w:b/>
                <w:bCs/>
                <w:lang w:eastAsia="en-US"/>
              </w:rPr>
            </w:pPr>
            <w:r w:rsidRPr="005C79D9">
              <w:rPr>
                <w:rFonts w:ascii="Calibri" w:hAnsi="Calibri" w:cs="Calibri"/>
                <w:b/>
                <w:bCs/>
                <w:lang w:eastAsia="en-US"/>
              </w:rPr>
              <w:t>Consideration of researcher relationship</w:t>
            </w:r>
          </w:p>
        </w:tc>
        <w:tc>
          <w:tcPr>
            <w:tcW w:w="980" w:type="dxa"/>
            <w:tcBorders>
              <w:top w:val="nil"/>
              <w:left w:val="single" w:sz="4" w:space="0" w:color="auto"/>
              <w:bottom w:val="single" w:sz="4" w:space="0" w:color="auto"/>
              <w:right w:val="single" w:sz="4" w:space="0" w:color="auto"/>
            </w:tcBorders>
            <w:shd w:val="clear" w:color="000000" w:fill="538DD5"/>
            <w:noWrap/>
            <w:vAlign w:val="bottom"/>
            <w:hideMark/>
          </w:tcPr>
          <w:p w14:paraId="17786275"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71%</w:t>
            </w:r>
          </w:p>
        </w:tc>
        <w:tc>
          <w:tcPr>
            <w:tcW w:w="980" w:type="dxa"/>
            <w:tcBorders>
              <w:top w:val="nil"/>
              <w:left w:val="nil"/>
              <w:bottom w:val="single" w:sz="4" w:space="0" w:color="auto"/>
              <w:right w:val="single" w:sz="4" w:space="0" w:color="auto"/>
            </w:tcBorders>
            <w:shd w:val="clear" w:color="000000" w:fill="538DD5"/>
            <w:noWrap/>
            <w:vAlign w:val="bottom"/>
            <w:hideMark/>
          </w:tcPr>
          <w:p w14:paraId="0065F35B"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0%</w:t>
            </w:r>
          </w:p>
        </w:tc>
        <w:tc>
          <w:tcPr>
            <w:tcW w:w="980" w:type="dxa"/>
            <w:tcBorders>
              <w:top w:val="nil"/>
              <w:left w:val="nil"/>
              <w:bottom w:val="single" w:sz="4" w:space="0" w:color="auto"/>
              <w:right w:val="single" w:sz="4" w:space="0" w:color="auto"/>
            </w:tcBorders>
            <w:shd w:val="clear" w:color="000000" w:fill="538DD5"/>
            <w:noWrap/>
            <w:vAlign w:val="bottom"/>
            <w:hideMark/>
          </w:tcPr>
          <w:p w14:paraId="62359D28"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29%</w:t>
            </w:r>
          </w:p>
        </w:tc>
      </w:tr>
      <w:tr w:rsidR="005C79D9" w:rsidRPr="005C79D9" w14:paraId="687580B2" w14:textId="77777777" w:rsidTr="005C79D9">
        <w:trPr>
          <w:trHeight w:val="320"/>
        </w:trPr>
        <w:tc>
          <w:tcPr>
            <w:tcW w:w="4760" w:type="dxa"/>
            <w:tcBorders>
              <w:top w:val="nil"/>
              <w:left w:val="nil"/>
              <w:bottom w:val="single" w:sz="8" w:space="0" w:color="000000"/>
              <w:right w:val="single" w:sz="8" w:space="0" w:color="000000"/>
            </w:tcBorders>
            <w:shd w:val="clear" w:color="000000" w:fill="D9D9D9"/>
            <w:vAlign w:val="bottom"/>
            <w:hideMark/>
          </w:tcPr>
          <w:p w14:paraId="16125F60" w14:textId="77777777" w:rsidR="005C79D9" w:rsidRPr="005C79D9" w:rsidRDefault="005C79D9" w:rsidP="005C79D9">
            <w:pPr>
              <w:tabs>
                <w:tab w:val="clear" w:pos="510"/>
                <w:tab w:val="clear" w:pos="1411"/>
              </w:tabs>
              <w:rPr>
                <w:rFonts w:ascii="Calibri" w:hAnsi="Calibri" w:cs="Calibri"/>
                <w:b/>
                <w:bCs/>
                <w:lang w:eastAsia="en-US"/>
              </w:rPr>
            </w:pPr>
            <w:r w:rsidRPr="005C79D9">
              <w:rPr>
                <w:rFonts w:ascii="Calibri" w:hAnsi="Calibri" w:cs="Calibri"/>
                <w:b/>
                <w:bCs/>
                <w:lang w:eastAsia="en-US"/>
              </w:rPr>
              <w:t>Consideration of ethical issues</w:t>
            </w:r>
          </w:p>
        </w:tc>
        <w:tc>
          <w:tcPr>
            <w:tcW w:w="980" w:type="dxa"/>
            <w:tcBorders>
              <w:top w:val="nil"/>
              <w:left w:val="single" w:sz="4" w:space="0" w:color="auto"/>
              <w:bottom w:val="single" w:sz="4" w:space="0" w:color="auto"/>
              <w:right w:val="single" w:sz="4" w:space="0" w:color="auto"/>
            </w:tcBorders>
            <w:shd w:val="clear" w:color="000000" w:fill="538DD5"/>
            <w:noWrap/>
            <w:vAlign w:val="bottom"/>
            <w:hideMark/>
          </w:tcPr>
          <w:p w14:paraId="59E1AD6E"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100%</w:t>
            </w:r>
          </w:p>
        </w:tc>
        <w:tc>
          <w:tcPr>
            <w:tcW w:w="980" w:type="dxa"/>
            <w:tcBorders>
              <w:top w:val="nil"/>
              <w:left w:val="nil"/>
              <w:bottom w:val="single" w:sz="4" w:space="0" w:color="auto"/>
              <w:right w:val="single" w:sz="4" w:space="0" w:color="auto"/>
            </w:tcBorders>
            <w:shd w:val="clear" w:color="000000" w:fill="538DD5"/>
            <w:noWrap/>
            <w:vAlign w:val="bottom"/>
            <w:hideMark/>
          </w:tcPr>
          <w:p w14:paraId="41C740B5"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0%</w:t>
            </w:r>
          </w:p>
        </w:tc>
        <w:tc>
          <w:tcPr>
            <w:tcW w:w="980" w:type="dxa"/>
            <w:tcBorders>
              <w:top w:val="nil"/>
              <w:left w:val="nil"/>
              <w:bottom w:val="single" w:sz="4" w:space="0" w:color="auto"/>
              <w:right w:val="single" w:sz="4" w:space="0" w:color="auto"/>
            </w:tcBorders>
            <w:shd w:val="clear" w:color="000000" w:fill="538DD5"/>
            <w:noWrap/>
            <w:vAlign w:val="bottom"/>
            <w:hideMark/>
          </w:tcPr>
          <w:p w14:paraId="140A413D"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0%</w:t>
            </w:r>
          </w:p>
        </w:tc>
      </w:tr>
      <w:tr w:rsidR="005C79D9" w:rsidRPr="005C79D9" w14:paraId="62678BC6" w14:textId="77777777" w:rsidTr="005C79D9">
        <w:trPr>
          <w:trHeight w:val="320"/>
        </w:trPr>
        <w:tc>
          <w:tcPr>
            <w:tcW w:w="4760" w:type="dxa"/>
            <w:tcBorders>
              <w:top w:val="nil"/>
              <w:left w:val="nil"/>
              <w:bottom w:val="single" w:sz="8" w:space="0" w:color="000000"/>
              <w:right w:val="single" w:sz="8" w:space="0" w:color="000000"/>
            </w:tcBorders>
            <w:shd w:val="clear" w:color="000000" w:fill="D9D9D9"/>
            <w:vAlign w:val="bottom"/>
            <w:hideMark/>
          </w:tcPr>
          <w:p w14:paraId="7ED72E10" w14:textId="77777777" w:rsidR="005C79D9" w:rsidRPr="005C79D9" w:rsidRDefault="005C79D9" w:rsidP="005C79D9">
            <w:pPr>
              <w:tabs>
                <w:tab w:val="clear" w:pos="510"/>
                <w:tab w:val="clear" w:pos="1411"/>
              </w:tabs>
              <w:rPr>
                <w:rFonts w:ascii="Calibri" w:hAnsi="Calibri" w:cs="Calibri"/>
                <w:b/>
                <w:bCs/>
                <w:lang w:eastAsia="en-US"/>
              </w:rPr>
            </w:pPr>
            <w:r w:rsidRPr="005C79D9">
              <w:rPr>
                <w:rFonts w:ascii="Calibri" w:hAnsi="Calibri" w:cs="Calibri"/>
                <w:b/>
                <w:bCs/>
                <w:lang w:eastAsia="en-US"/>
              </w:rPr>
              <w:t>Rigorous data analysis</w:t>
            </w:r>
          </w:p>
        </w:tc>
        <w:tc>
          <w:tcPr>
            <w:tcW w:w="980" w:type="dxa"/>
            <w:tcBorders>
              <w:top w:val="nil"/>
              <w:left w:val="single" w:sz="4" w:space="0" w:color="auto"/>
              <w:bottom w:val="single" w:sz="4" w:space="0" w:color="auto"/>
              <w:right w:val="single" w:sz="4" w:space="0" w:color="auto"/>
            </w:tcBorders>
            <w:shd w:val="clear" w:color="000000" w:fill="538DD5"/>
            <w:noWrap/>
            <w:vAlign w:val="bottom"/>
            <w:hideMark/>
          </w:tcPr>
          <w:p w14:paraId="200F1041"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86%</w:t>
            </w:r>
          </w:p>
        </w:tc>
        <w:tc>
          <w:tcPr>
            <w:tcW w:w="980" w:type="dxa"/>
            <w:tcBorders>
              <w:top w:val="nil"/>
              <w:left w:val="nil"/>
              <w:bottom w:val="single" w:sz="4" w:space="0" w:color="auto"/>
              <w:right w:val="single" w:sz="4" w:space="0" w:color="auto"/>
            </w:tcBorders>
            <w:shd w:val="clear" w:color="000000" w:fill="538DD5"/>
            <w:noWrap/>
            <w:vAlign w:val="bottom"/>
            <w:hideMark/>
          </w:tcPr>
          <w:p w14:paraId="7CEF4B93"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0%</w:t>
            </w:r>
          </w:p>
        </w:tc>
        <w:tc>
          <w:tcPr>
            <w:tcW w:w="980" w:type="dxa"/>
            <w:tcBorders>
              <w:top w:val="nil"/>
              <w:left w:val="nil"/>
              <w:bottom w:val="single" w:sz="4" w:space="0" w:color="auto"/>
              <w:right w:val="single" w:sz="4" w:space="0" w:color="auto"/>
            </w:tcBorders>
            <w:shd w:val="clear" w:color="000000" w:fill="538DD5"/>
            <w:noWrap/>
            <w:vAlign w:val="bottom"/>
            <w:hideMark/>
          </w:tcPr>
          <w:p w14:paraId="03334EED"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14%</w:t>
            </w:r>
          </w:p>
        </w:tc>
      </w:tr>
      <w:tr w:rsidR="005C79D9" w:rsidRPr="005C79D9" w14:paraId="3B09E2BD" w14:textId="77777777" w:rsidTr="005C79D9">
        <w:trPr>
          <w:trHeight w:val="320"/>
        </w:trPr>
        <w:tc>
          <w:tcPr>
            <w:tcW w:w="4760" w:type="dxa"/>
            <w:tcBorders>
              <w:top w:val="nil"/>
              <w:left w:val="nil"/>
              <w:bottom w:val="single" w:sz="8" w:space="0" w:color="000000"/>
              <w:right w:val="single" w:sz="8" w:space="0" w:color="000000"/>
            </w:tcBorders>
            <w:shd w:val="clear" w:color="000000" w:fill="D9D9D9"/>
            <w:vAlign w:val="bottom"/>
            <w:hideMark/>
          </w:tcPr>
          <w:p w14:paraId="396A152E" w14:textId="77777777" w:rsidR="005C79D9" w:rsidRPr="005C79D9" w:rsidRDefault="005C79D9" w:rsidP="005C79D9">
            <w:pPr>
              <w:tabs>
                <w:tab w:val="clear" w:pos="510"/>
                <w:tab w:val="clear" w:pos="1411"/>
              </w:tabs>
              <w:rPr>
                <w:rFonts w:ascii="Calibri" w:hAnsi="Calibri" w:cs="Calibri"/>
                <w:b/>
                <w:bCs/>
                <w:lang w:eastAsia="en-US"/>
              </w:rPr>
            </w:pPr>
            <w:r w:rsidRPr="005C79D9">
              <w:rPr>
                <w:rFonts w:ascii="Calibri" w:hAnsi="Calibri" w:cs="Calibri"/>
                <w:b/>
                <w:bCs/>
                <w:lang w:eastAsia="en-US"/>
              </w:rPr>
              <w:t>Clear statement of findings</w:t>
            </w:r>
          </w:p>
        </w:tc>
        <w:tc>
          <w:tcPr>
            <w:tcW w:w="980" w:type="dxa"/>
            <w:tcBorders>
              <w:top w:val="nil"/>
              <w:left w:val="single" w:sz="4" w:space="0" w:color="auto"/>
              <w:bottom w:val="single" w:sz="4" w:space="0" w:color="auto"/>
              <w:right w:val="single" w:sz="4" w:space="0" w:color="auto"/>
            </w:tcBorders>
            <w:shd w:val="clear" w:color="000000" w:fill="538DD5"/>
            <w:noWrap/>
            <w:vAlign w:val="bottom"/>
            <w:hideMark/>
          </w:tcPr>
          <w:p w14:paraId="35BB65EB"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100%</w:t>
            </w:r>
          </w:p>
        </w:tc>
        <w:tc>
          <w:tcPr>
            <w:tcW w:w="980" w:type="dxa"/>
            <w:tcBorders>
              <w:top w:val="nil"/>
              <w:left w:val="nil"/>
              <w:bottom w:val="single" w:sz="4" w:space="0" w:color="auto"/>
              <w:right w:val="single" w:sz="4" w:space="0" w:color="auto"/>
            </w:tcBorders>
            <w:shd w:val="clear" w:color="000000" w:fill="538DD5"/>
            <w:noWrap/>
            <w:vAlign w:val="bottom"/>
            <w:hideMark/>
          </w:tcPr>
          <w:p w14:paraId="7141CAE6"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0%</w:t>
            </w:r>
          </w:p>
        </w:tc>
        <w:tc>
          <w:tcPr>
            <w:tcW w:w="980" w:type="dxa"/>
            <w:tcBorders>
              <w:top w:val="nil"/>
              <w:left w:val="nil"/>
              <w:bottom w:val="single" w:sz="4" w:space="0" w:color="auto"/>
              <w:right w:val="single" w:sz="4" w:space="0" w:color="auto"/>
            </w:tcBorders>
            <w:shd w:val="clear" w:color="000000" w:fill="538DD5"/>
            <w:noWrap/>
            <w:vAlign w:val="bottom"/>
            <w:hideMark/>
          </w:tcPr>
          <w:p w14:paraId="0411D44B" w14:textId="77777777" w:rsidR="005C79D9" w:rsidRPr="005C79D9" w:rsidRDefault="005C79D9" w:rsidP="005C79D9">
            <w:pPr>
              <w:tabs>
                <w:tab w:val="clear" w:pos="510"/>
                <w:tab w:val="clear" w:pos="1411"/>
              </w:tabs>
              <w:jc w:val="right"/>
              <w:rPr>
                <w:rFonts w:ascii="Calibri" w:hAnsi="Calibri" w:cs="Calibri"/>
                <w:sz w:val="24"/>
                <w:szCs w:val="24"/>
                <w:lang w:eastAsia="en-US"/>
              </w:rPr>
            </w:pPr>
            <w:r w:rsidRPr="005C79D9">
              <w:rPr>
                <w:rFonts w:ascii="Calibri" w:hAnsi="Calibri" w:cs="Calibri"/>
                <w:sz w:val="24"/>
                <w:szCs w:val="24"/>
                <w:lang w:eastAsia="en-US"/>
              </w:rPr>
              <w:t>0%</w:t>
            </w:r>
          </w:p>
        </w:tc>
      </w:tr>
    </w:tbl>
    <w:p w14:paraId="3B8434A0" w14:textId="77777777" w:rsidR="00156BCF" w:rsidRPr="00134AF5" w:rsidRDefault="00156BCF" w:rsidP="00134AF5">
      <w:pPr>
        <w:rPr>
          <w:sz w:val="24"/>
          <w:szCs w:val="24"/>
        </w:rPr>
      </w:pPr>
    </w:p>
    <w:p w14:paraId="35CA2A96" w14:textId="1A0A49A8" w:rsidR="0021587B" w:rsidRPr="000E208D" w:rsidRDefault="0021587B" w:rsidP="000E208D">
      <w:pPr>
        <w:tabs>
          <w:tab w:val="clear" w:pos="510"/>
          <w:tab w:val="clear" w:pos="1411"/>
        </w:tabs>
        <w:spacing w:after="160" w:line="259" w:lineRule="auto"/>
        <w:rPr>
          <w:b/>
          <w:i/>
          <w:sz w:val="24"/>
          <w:szCs w:val="24"/>
        </w:rPr>
      </w:pPr>
    </w:p>
    <w:p w14:paraId="394E03CD" w14:textId="31CBA60F" w:rsidR="00783C17" w:rsidRPr="00365757" w:rsidRDefault="00783C17" w:rsidP="0021587B">
      <w:pPr>
        <w:tabs>
          <w:tab w:val="clear" w:pos="510"/>
          <w:tab w:val="clear" w:pos="1411"/>
        </w:tabs>
        <w:spacing w:after="160" w:line="259" w:lineRule="auto"/>
        <w:rPr>
          <w:sz w:val="20"/>
          <w:szCs w:val="20"/>
        </w:rPr>
      </w:pPr>
    </w:p>
    <w:p w14:paraId="2766EFFE" w14:textId="2035CEC7" w:rsidR="00783C17" w:rsidRPr="00B63E12" w:rsidRDefault="00783C17" w:rsidP="00B63E12">
      <w:pPr>
        <w:tabs>
          <w:tab w:val="clear" w:pos="510"/>
          <w:tab w:val="clear" w:pos="1411"/>
        </w:tabs>
        <w:spacing w:after="160" w:line="259" w:lineRule="auto"/>
        <w:rPr>
          <w:b/>
          <w:sz w:val="24"/>
          <w:szCs w:val="24"/>
        </w:rPr>
      </w:pPr>
    </w:p>
    <w:sectPr w:rsidR="00783C17" w:rsidRPr="00B63E12" w:rsidSect="00446F2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789476" w14:textId="77777777" w:rsidR="00470307" w:rsidRDefault="00470307" w:rsidP="00774158">
      <w:r>
        <w:separator/>
      </w:r>
    </w:p>
  </w:endnote>
  <w:endnote w:type="continuationSeparator" w:id="0">
    <w:p w14:paraId="5AB8D4ED" w14:textId="77777777" w:rsidR="00470307" w:rsidRDefault="00470307" w:rsidP="00774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C17160" w14:textId="77777777" w:rsidR="00470307" w:rsidRDefault="00470307" w:rsidP="00774158">
      <w:r>
        <w:separator/>
      </w:r>
    </w:p>
  </w:footnote>
  <w:footnote w:type="continuationSeparator" w:id="0">
    <w:p w14:paraId="297A77B3" w14:textId="77777777" w:rsidR="00470307" w:rsidRDefault="00470307" w:rsidP="007741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012FC8"/>
    <w:multiLevelType w:val="hybridMultilevel"/>
    <w:tmpl w:val="91CCC660"/>
    <w:lvl w:ilvl="0" w:tplc="0409000F">
      <w:start w:val="1"/>
      <w:numFmt w:val="decimal"/>
      <w:lvlText w:val="%1."/>
      <w:lvlJc w:val="left"/>
      <w:pPr>
        <w:ind w:left="45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
    <w:nsid w:val="7B454A48"/>
    <w:multiLevelType w:val="hybridMultilevel"/>
    <w:tmpl w:val="793A2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A43D21"/>
    <w:rsid w:val="00030473"/>
    <w:rsid w:val="000E208D"/>
    <w:rsid w:val="000F6EB7"/>
    <w:rsid w:val="00134AF5"/>
    <w:rsid w:val="00156BCF"/>
    <w:rsid w:val="001B1A06"/>
    <w:rsid w:val="001C4858"/>
    <w:rsid w:val="001D2B93"/>
    <w:rsid w:val="002126FF"/>
    <w:rsid w:val="0021587B"/>
    <w:rsid w:val="00230203"/>
    <w:rsid w:val="0025718A"/>
    <w:rsid w:val="0026305D"/>
    <w:rsid w:val="00284A0A"/>
    <w:rsid w:val="002C2229"/>
    <w:rsid w:val="00365757"/>
    <w:rsid w:val="003944D1"/>
    <w:rsid w:val="003B3F7D"/>
    <w:rsid w:val="004449DD"/>
    <w:rsid w:val="00446F26"/>
    <w:rsid w:val="0045692C"/>
    <w:rsid w:val="00470307"/>
    <w:rsid w:val="00475FF7"/>
    <w:rsid w:val="00483165"/>
    <w:rsid w:val="00490E7F"/>
    <w:rsid w:val="004A625C"/>
    <w:rsid w:val="004F0BD3"/>
    <w:rsid w:val="00527B0B"/>
    <w:rsid w:val="005A06D8"/>
    <w:rsid w:val="005C79D9"/>
    <w:rsid w:val="005E13E8"/>
    <w:rsid w:val="005E5F70"/>
    <w:rsid w:val="006054F2"/>
    <w:rsid w:val="00647A79"/>
    <w:rsid w:val="006F253C"/>
    <w:rsid w:val="00745EBC"/>
    <w:rsid w:val="00774158"/>
    <w:rsid w:val="00783C17"/>
    <w:rsid w:val="00794769"/>
    <w:rsid w:val="00796578"/>
    <w:rsid w:val="007F1056"/>
    <w:rsid w:val="0081019E"/>
    <w:rsid w:val="00862CE0"/>
    <w:rsid w:val="00877585"/>
    <w:rsid w:val="008F5BE5"/>
    <w:rsid w:val="00907EEA"/>
    <w:rsid w:val="00A43D21"/>
    <w:rsid w:val="00A712C4"/>
    <w:rsid w:val="00A872C3"/>
    <w:rsid w:val="00AA2950"/>
    <w:rsid w:val="00AC0E24"/>
    <w:rsid w:val="00B053C4"/>
    <w:rsid w:val="00B22E99"/>
    <w:rsid w:val="00B63E12"/>
    <w:rsid w:val="00B94EE2"/>
    <w:rsid w:val="00BD3B06"/>
    <w:rsid w:val="00D2750A"/>
    <w:rsid w:val="00D434B3"/>
    <w:rsid w:val="00D570FB"/>
    <w:rsid w:val="00D77867"/>
    <w:rsid w:val="00D82AF9"/>
    <w:rsid w:val="00D87E54"/>
    <w:rsid w:val="00DE25D1"/>
    <w:rsid w:val="00DF145B"/>
    <w:rsid w:val="00E46E05"/>
    <w:rsid w:val="00E62609"/>
    <w:rsid w:val="00EE6110"/>
    <w:rsid w:val="00F11D43"/>
    <w:rsid w:val="00F26D00"/>
    <w:rsid w:val="00F75591"/>
    <w:rsid w:val="00F876B9"/>
    <w:rsid w:val="00FA1FA9"/>
    <w:rsid w:val="00FC21C6"/>
    <w:rsid w:val="00FE1C68"/>
    <w:rsid w:val="00FF7B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AAC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D21"/>
    <w:pPr>
      <w:tabs>
        <w:tab w:val="left" w:pos="510"/>
        <w:tab w:val="left" w:pos="1411"/>
      </w:tabs>
      <w:spacing w:after="0" w:line="240" w:lineRule="auto"/>
    </w:pPr>
    <w:rPr>
      <w:rFonts w:ascii="Times New Roman" w:eastAsia="Times New Roman" w:hAnsi="Times New Roman" w:cs="Times New Roman"/>
      <w:color w:val="000000"/>
      <w:lang w:eastAsia="nb-NO"/>
    </w:rPr>
  </w:style>
  <w:style w:type="paragraph" w:styleId="Heading1">
    <w:name w:val="heading 1"/>
    <w:basedOn w:val="Normal"/>
    <w:next w:val="Normal"/>
    <w:link w:val="Heading1Char"/>
    <w:uiPriority w:val="9"/>
    <w:qFormat/>
    <w:rsid w:val="008F5BE5"/>
    <w:pPr>
      <w:outlineLvl w:val="0"/>
    </w:pPr>
    <w:rPr>
      <w:b/>
      <w:sz w:val="24"/>
      <w:szCs w:val="24"/>
    </w:rPr>
  </w:style>
  <w:style w:type="paragraph" w:styleId="Heading2">
    <w:name w:val="heading 2"/>
    <w:basedOn w:val="Heading1"/>
    <w:next w:val="Normal"/>
    <w:link w:val="Heading2Char"/>
    <w:uiPriority w:val="9"/>
    <w:unhideWhenUsed/>
    <w:qFormat/>
    <w:rsid w:val="008F5BE5"/>
    <w:pPr>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3D21"/>
    <w:pPr>
      <w:tabs>
        <w:tab w:val="left" w:pos="510"/>
      </w:tabs>
      <w:spacing w:after="0" w:line="30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3D21"/>
    <w:pPr>
      <w:ind w:left="720"/>
      <w:contextualSpacing/>
    </w:pPr>
  </w:style>
  <w:style w:type="paragraph" w:styleId="Header">
    <w:name w:val="header"/>
    <w:basedOn w:val="Normal"/>
    <w:link w:val="HeaderChar"/>
    <w:uiPriority w:val="99"/>
    <w:unhideWhenUsed/>
    <w:rsid w:val="00774158"/>
    <w:pPr>
      <w:tabs>
        <w:tab w:val="clear" w:pos="510"/>
        <w:tab w:val="clear" w:pos="1411"/>
        <w:tab w:val="center" w:pos="4680"/>
        <w:tab w:val="right" w:pos="9360"/>
      </w:tabs>
    </w:pPr>
  </w:style>
  <w:style w:type="character" w:customStyle="1" w:styleId="HeaderChar">
    <w:name w:val="Header Char"/>
    <w:basedOn w:val="DefaultParagraphFont"/>
    <w:link w:val="Header"/>
    <w:uiPriority w:val="99"/>
    <w:rsid w:val="00774158"/>
    <w:rPr>
      <w:rFonts w:ascii="Times New Roman" w:eastAsia="Times New Roman" w:hAnsi="Times New Roman" w:cs="Times New Roman"/>
      <w:color w:val="000000"/>
      <w:lang w:eastAsia="nb-NO"/>
    </w:rPr>
  </w:style>
  <w:style w:type="paragraph" w:styleId="Footer">
    <w:name w:val="footer"/>
    <w:basedOn w:val="Normal"/>
    <w:link w:val="FooterChar"/>
    <w:uiPriority w:val="99"/>
    <w:unhideWhenUsed/>
    <w:rsid w:val="00774158"/>
    <w:pPr>
      <w:tabs>
        <w:tab w:val="clear" w:pos="510"/>
        <w:tab w:val="clear" w:pos="1411"/>
        <w:tab w:val="center" w:pos="4680"/>
        <w:tab w:val="right" w:pos="9360"/>
      </w:tabs>
    </w:pPr>
  </w:style>
  <w:style w:type="character" w:customStyle="1" w:styleId="FooterChar">
    <w:name w:val="Footer Char"/>
    <w:basedOn w:val="DefaultParagraphFont"/>
    <w:link w:val="Footer"/>
    <w:uiPriority w:val="99"/>
    <w:rsid w:val="00774158"/>
    <w:rPr>
      <w:rFonts w:ascii="Times New Roman" w:eastAsia="Times New Roman" w:hAnsi="Times New Roman" w:cs="Times New Roman"/>
      <w:color w:val="000000"/>
      <w:lang w:eastAsia="nb-NO"/>
    </w:rPr>
  </w:style>
  <w:style w:type="paragraph" w:styleId="Title">
    <w:name w:val="Title"/>
    <w:basedOn w:val="Normal"/>
    <w:next w:val="Normal"/>
    <w:link w:val="TitleChar"/>
    <w:uiPriority w:val="10"/>
    <w:qFormat/>
    <w:rsid w:val="00475FF7"/>
    <w:rPr>
      <w:sz w:val="20"/>
      <w:szCs w:val="20"/>
    </w:rPr>
  </w:style>
  <w:style w:type="character" w:customStyle="1" w:styleId="TitleChar">
    <w:name w:val="Title Char"/>
    <w:basedOn w:val="DefaultParagraphFont"/>
    <w:link w:val="Title"/>
    <w:uiPriority w:val="10"/>
    <w:rsid w:val="00475FF7"/>
    <w:rPr>
      <w:rFonts w:ascii="Times New Roman" w:eastAsia="Times New Roman" w:hAnsi="Times New Roman" w:cs="Times New Roman"/>
      <w:color w:val="000000"/>
      <w:sz w:val="20"/>
      <w:szCs w:val="20"/>
      <w:lang w:eastAsia="nb-NO"/>
    </w:rPr>
  </w:style>
  <w:style w:type="paragraph" w:styleId="BalloonText">
    <w:name w:val="Balloon Text"/>
    <w:basedOn w:val="Normal"/>
    <w:link w:val="BalloonTextChar"/>
    <w:uiPriority w:val="99"/>
    <w:semiHidden/>
    <w:unhideWhenUsed/>
    <w:rsid w:val="00446F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F26"/>
    <w:rPr>
      <w:rFonts w:ascii="Segoe UI" w:eastAsia="Times New Roman" w:hAnsi="Segoe UI" w:cs="Segoe UI"/>
      <w:color w:val="000000"/>
      <w:sz w:val="18"/>
      <w:szCs w:val="18"/>
      <w:lang w:eastAsia="nb-NO"/>
    </w:rPr>
  </w:style>
  <w:style w:type="character" w:customStyle="1" w:styleId="Heading1Char">
    <w:name w:val="Heading 1 Char"/>
    <w:basedOn w:val="DefaultParagraphFont"/>
    <w:link w:val="Heading1"/>
    <w:uiPriority w:val="9"/>
    <w:rsid w:val="008F5BE5"/>
    <w:rPr>
      <w:rFonts w:ascii="Times New Roman" w:eastAsia="Times New Roman" w:hAnsi="Times New Roman" w:cs="Times New Roman"/>
      <w:b/>
      <w:color w:val="000000"/>
      <w:sz w:val="24"/>
      <w:szCs w:val="24"/>
      <w:lang w:eastAsia="nb-NO"/>
    </w:rPr>
  </w:style>
  <w:style w:type="character" w:styleId="CommentReference">
    <w:name w:val="annotation reference"/>
    <w:uiPriority w:val="99"/>
    <w:semiHidden/>
    <w:rsid w:val="00DF145B"/>
    <w:rPr>
      <w:sz w:val="16"/>
      <w:szCs w:val="16"/>
    </w:rPr>
  </w:style>
  <w:style w:type="paragraph" w:styleId="CommentText">
    <w:name w:val="annotation text"/>
    <w:basedOn w:val="Normal"/>
    <w:link w:val="CommentTextChar"/>
    <w:semiHidden/>
    <w:rsid w:val="00DF145B"/>
    <w:rPr>
      <w:sz w:val="20"/>
      <w:szCs w:val="20"/>
    </w:rPr>
  </w:style>
  <w:style w:type="character" w:customStyle="1" w:styleId="CommentTextChar">
    <w:name w:val="Comment Text Char"/>
    <w:basedOn w:val="DefaultParagraphFont"/>
    <w:link w:val="CommentText"/>
    <w:semiHidden/>
    <w:rsid w:val="00DF145B"/>
    <w:rPr>
      <w:rFonts w:ascii="Times New Roman" w:eastAsia="Times New Roman" w:hAnsi="Times New Roman" w:cs="Times New Roman"/>
      <w:color w:val="000000"/>
      <w:sz w:val="20"/>
      <w:szCs w:val="20"/>
      <w:lang w:eastAsia="nb-NO"/>
    </w:rPr>
  </w:style>
  <w:style w:type="paragraph" w:styleId="CommentSubject">
    <w:name w:val="annotation subject"/>
    <w:basedOn w:val="CommentText"/>
    <w:next w:val="CommentText"/>
    <w:link w:val="CommentSubjectChar"/>
    <w:uiPriority w:val="99"/>
    <w:semiHidden/>
    <w:unhideWhenUsed/>
    <w:rsid w:val="00F26D00"/>
    <w:rPr>
      <w:b/>
      <w:bCs/>
    </w:rPr>
  </w:style>
  <w:style w:type="character" w:customStyle="1" w:styleId="CommentSubjectChar">
    <w:name w:val="Comment Subject Char"/>
    <w:basedOn w:val="CommentTextChar"/>
    <w:link w:val="CommentSubject"/>
    <w:uiPriority w:val="99"/>
    <w:semiHidden/>
    <w:rsid w:val="00F26D00"/>
    <w:rPr>
      <w:rFonts w:ascii="Times New Roman" w:eastAsia="Times New Roman" w:hAnsi="Times New Roman" w:cs="Times New Roman"/>
      <w:b/>
      <w:bCs/>
      <w:color w:val="000000"/>
      <w:sz w:val="20"/>
      <w:szCs w:val="20"/>
      <w:lang w:eastAsia="nb-NO"/>
    </w:rPr>
  </w:style>
  <w:style w:type="paragraph" w:styleId="Caption">
    <w:name w:val="caption"/>
    <w:basedOn w:val="Normal"/>
    <w:next w:val="Normal"/>
    <w:uiPriority w:val="35"/>
    <w:unhideWhenUsed/>
    <w:qFormat/>
    <w:rsid w:val="0021587B"/>
    <w:pPr>
      <w:spacing w:after="200"/>
    </w:pPr>
    <w:rPr>
      <w:i/>
      <w:iCs/>
      <w:color w:val="44546A" w:themeColor="text2"/>
      <w:sz w:val="18"/>
      <w:szCs w:val="18"/>
    </w:rPr>
  </w:style>
  <w:style w:type="character" w:customStyle="1" w:styleId="Heading2Char">
    <w:name w:val="Heading 2 Char"/>
    <w:basedOn w:val="DefaultParagraphFont"/>
    <w:link w:val="Heading2"/>
    <w:uiPriority w:val="9"/>
    <w:rsid w:val="008F5BE5"/>
    <w:rPr>
      <w:rFonts w:ascii="Times New Roman" w:eastAsia="Times New Roman" w:hAnsi="Times New Roman" w:cs="Times New Roman"/>
      <w:b/>
      <w:i/>
      <w:color w:val="000000"/>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D21"/>
    <w:pPr>
      <w:tabs>
        <w:tab w:val="left" w:pos="510"/>
        <w:tab w:val="left" w:pos="1411"/>
      </w:tabs>
      <w:spacing w:after="0" w:line="240" w:lineRule="auto"/>
    </w:pPr>
    <w:rPr>
      <w:rFonts w:ascii="Times New Roman" w:eastAsia="Times New Roman" w:hAnsi="Times New Roman" w:cs="Times New Roman"/>
      <w:color w:val="000000"/>
      <w:lang w:eastAsia="nb-NO"/>
    </w:rPr>
  </w:style>
  <w:style w:type="paragraph" w:styleId="Heading1">
    <w:name w:val="heading 1"/>
    <w:basedOn w:val="Normal"/>
    <w:next w:val="Normal"/>
    <w:link w:val="Heading1Char"/>
    <w:uiPriority w:val="9"/>
    <w:qFormat/>
    <w:rsid w:val="008F5BE5"/>
    <w:pPr>
      <w:outlineLvl w:val="0"/>
    </w:pPr>
    <w:rPr>
      <w:b/>
      <w:sz w:val="24"/>
      <w:szCs w:val="24"/>
    </w:rPr>
  </w:style>
  <w:style w:type="paragraph" w:styleId="Heading2">
    <w:name w:val="heading 2"/>
    <w:basedOn w:val="Heading1"/>
    <w:next w:val="Normal"/>
    <w:link w:val="Heading2Char"/>
    <w:uiPriority w:val="9"/>
    <w:unhideWhenUsed/>
    <w:qFormat/>
    <w:rsid w:val="008F5BE5"/>
    <w:pPr>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3D21"/>
    <w:pPr>
      <w:tabs>
        <w:tab w:val="left" w:pos="510"/>
      </w:tabs>
      <w:spacing w:after="0" w:line="30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3D21"/>
    <w:pPr>
      <w:ind w:left="720"/>
      <w:contextualSpacing/>
    </w:pPr>
  </w:style>
  <w:style w:type="paragraph" w:styleId="Header">
    <w:name w:val="header"/>
    <w:basedOn w:val="Normal"/>
    <w:link w:val="HeaderChar"/>
    <w:uiPriority w:val="99"/>
    <w:unhideWhenUsed/>
    <w:rsid w:val="00774158"/>
    <w:pPr>
      <w:tabs>
        <w:tab w:val="clear" w:pos="510"/>
        <w:tab w:val="clear" w:pos="1411"/>
        <w:tab w:val="center" w:pos="4680"/>
        <w:tab w:val="right" w:pos="9360"/>
      </w:tabs>
    </w:pPr>
  </w:style>
  <w:style w:type="character" w:customStyle="1" w:styleId="HeaderChar">
    <w:name w:val="Header Char"/>
    <w:basedOn w:val="DefaultParagraphFont"/>
    <w:link w:val="Header"/>
    <w:uiPriority w:val="99"/>
    <w:rsid w:val="00774158"/>
    <w:rPr>
      <w:rFonts w:ascii="Times New Roman" w:eastAsia="Times New Roman" w:hAnsi="Times New Roman" w:cs="Times New Roman"/>
      <w:color w:val="000000"/>
      <w:lang w:eastAsia="nb-NO"/>
    </w:rPr>
  </w:style>
  <w:style w:type="paragraph" w:styleId="Footer">
    <w:name w:val="footer"/>
    <w:basedOn w:val="Normal"/>
    <w:link w:val="FooterChar"/>
    <w:uiPriority w:val="99"/>
    <w:unhideWhenUsed/>
    <w:rsid w:val="00774158"/>
    <w:pPr>
      <w:tabs>
        <w:tab w:val="clear" w:pos="510"/>
        <w:tab w:val="clear" w:pos="1411"/>
        <w:tab w:val="center" w:pos="4680"/>
        <w:tab w:val="right" w:pos="9360"/>
      </w:tabs>
    </w:pPr>
  </w:style>
  <w:style w:type="character" w:customStyle="1" w:styleId="FooterChar">
    <w:name w:val="Footer Char"/>
    <w:basedOn w:val="DefaultParagraphFont"/>
    <w:link w:val="Footer"/>
    <w:uiPriority w:val="99"/>
    <w:rsid w:val="00774158"/>
    <w:rPr>
      <w:rFonts w:ascii="Times New Roman" w:eastAsia="Times New Roman" w:hAnsi="Times New Roman" w:cs="Times New Roman"/>
      <w:color w:val="000000"/>
      <w:lang w:eastAsia="nb-NO"/>
    </w:rPr>
  </w:style>
  <w:style w:type="paragraph" w:styleId="Title">
    <w:name w:val="Title"/>
    <w:basedOn w:val="Normal"/>
    <w:next w:val="Normal"/>
    <w:link w:val="TitleChar"/>
    <w:uiPriority w:val="10"/>
    <w:qFormat/>
    <w:rsid w:val="00475FF7"/>
    <w:rPr>
      <w:sz w:val="20"/>
      <w:szCs w:val="20"/>
    </w:rPr>
  </w:style>
  <w:style w:type="character" w:customStyle="1" w:styleId="TitleChar">
    <w:name w:val="Title Char"/>
    <w:basedOn w:val="DefaultParagraphFont"/>
    <w:link w:val="Title"/>
    <w:uiPriority w:val="10"/>
    <w:rsid w:val="00475FF7"/>
    <w:rPr>
      <w:rFonts w:ascii="Times New Roman" w:eastAsia="Times New Roman" w:hAnsi="Times New Roman" w:cs="Times New Roman"/>
      <w:color w:val="000000"/>
      <w:sz w:val="20"/>
      <w:szCs w:val="20"/>
      <w:lang w:eastAsia="nb-NO"/>
    </w:rPr>
  </w:style>
  <w:style w:type="paragraph" w:styleId="BalloonText">
    <w:name w:val="Balloon Text"/>
    <w:basedOn w:val="Normal"/>
    <w:link w:val="BalloonTextChar"/>
    <w:uiPriority w:val="99"/>
    <w:semiHidden/>
    <w:unhideWhenUsed/>
    <w:rsid w:val="00446F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F26"/>
    <w:rPr>
      <w:rFonts w:ascii="Segoe UI" w:eastAsia="Times New Roman" w:hAnsi="Segoe UI" w:cs="Segoe UI"/>
      <w:color w:val="000000"/>
      <w:sz w:val="18"/>
      <w:szCs w:val="18"/>
      <w:lang w:eastAsia="nb-NO"/>
    </w:rPr>
  </w:style>
  <w:style w:type="character" w:customStyle="1" w:styleId="Heading1Char">
    <w:name w:val="Heading 1 Char"/>
    <w:basedOn w:val="DefaultParagraphFont"/>
    <w:link w:val="Heading1"/>
    <w:uiPriority w:val="9"/>
    <w:rsid w:val="008F5BE5"/>
    <w:rPr>
      <w:rFonts w:ascii="Times New Roman" w:eastAsia="Times New Roman" w:hAnsi="Times New Roman" w:cs="Times New Roman"/>
      <w:b/>
      <w:color w:val="000000"/>
      <w:sz w:val="24"/>
      <w:szCs w:val="24"/>
      <w:lang w:eastAsia="nb-NO"/>
    </w:rPr>
  </w:style>
  <w:style w:type="character" w:styleId="CommentReference">
    <w:name w:val="annotation reference"/>
    <w:uiPriority w:val="99"/>
    <w:semiHidden/>
    <w:rsid w:val="00DF145B"/>
    <w:rPr>
      <w:sz w:val="16"/>
      <w:szCs w:val="16"/>
    </w:rPr>
  </w:style>
  <w:style w:type="paragraph" w:styleId="CommentText">
    <w:name w:val="annotation text"/>
    <w:basedOn w:val="Normal"/>
    <w:link w:val="CommentTextChar"/>
    <w:semiHidden/>
    <w:rsid w:val="00DF145B"/>
    <w:rPr>
      <w:sz w:val="20"/>
      <w:szCs w:val="20"/>
    </w:rPr>
  </w:style>
  <w:style w:type="character" w:customStyle="1" w:styleId="CommentTextChar">
    <w:name w:val="Comment Text Char"/>
    <w:basedOn w:val="DefaultParagraphFont"/>
    <w:link w:val="CommentText"/>
    <w:semiHidden/>
    <w:rsid w:val="00DF145B"/>
    <w:rPr>
      <w:rFonts w:ascii="Times New Roman" w:eastAsia="Times New Roman" w:hAnsi="Times New Roman" w:cs="Times New Roman"/>
      <w:color w:val="000000"/>
      <w:sz w:val="20"/>
      <w:szCs w:val="20"/>
      <w:lang w:eastAsia="nb-NO"/>
    </w:rPr>
  </w:style>
  <w:style w:type="paragraph" w:styleId="CommentSubject">
    <w:name w:val="annotation subject"/>
    <w:basedOn w:val="CommentText"/>
    <w:next w:val="CommentText"/>
    <w:link w:val="CommentSubjectChar"/>
    <w:uiPriority w:val="99"/>
    <w:semiHidden/>
    <w:unhideWhenUsed/>
    <w:rsid w:val="00F26D00"/>
    <w:rPr>
      <w:b/>
      <w:bCs/>
    </w:rPr>
  </w:style>
  <w:style w:type="character" w:customStyle="1" w:styleId="CommentSubjectChar">
    <w:name w:val="Comment Subject Char"/>
    <w:basedOn w:val="CommentTextChar"/>
    <w:link w:val="CommentSubject"/>
    <w:uiPriority w:val="99"/>
    <w:semiHidden/>
    <w:rsid w:val="00F26D00"/>
    <w:rPr>
      <w:rFonts w:ascii="Times New Roman" w:eastAsia="Times New Roman" w:hAnsi="Times New Roman" w:cs="Times New Roman"/>
      <w:b/>
      <w:bCs/>
      <w:color w:val="000000"/>
      <w:sz w:val="20"/>
      <w:szCs w:val="20"/>
      <w:lang w:eastAsia="nb-NO"/>
    </w:rPr>
  </w:style>
  <w:style w:type="paragraph" w:styleId="Caption">
    <w:name w:val="caption"/>
    <w:basedOn w:val="Normal"/>
    <w:next w:val="Normal"/>
    <w:uiPriority w:val="35"/>
    <w:unhideWhenUsed/>
    <w:qFormat/>
    <w:rsid w:val="0021587B"/>
    <w:pPr>
      <w:spacing w:after="200"/>
    </w:pPr>
    <w:rPr>
      <w:i/>
      <w:iCs/>
      <w:color w:val="44546A" w:themeColor="text2"/>
      <w:sz w:val="18"/>
      <w:szCs w:val="18"/>
    </w:rPr>
  </w:style>
  <w:style w:type="character" w:customStyle="1" w:styleId="Heading2Char">
    <w:name w:val="Heading 2 Char"/>
    <w:basedOn w:val="DefaultParagraphFont"/>
    <w:link w:val="Heading2"/>
    <w:uiPriority w:val="9"/>
    <w:rsid w:val="008F5BE5"/>
    <w:rPr>
      <w:rFonts w:ascii="Times New Roman" w:eastAsia="Times New Roman" w:hAnsi="Times New Roman" w:cs="Times New Roman"/>
      <w:b/>
      <w:i/>
      <w:color w:val="000000"/>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481746">
      <w:bodyDiv w:val="1"/>
      <w:marLeft w:val="0"/>
      <w:marRight w:val="0"/>
      <w:marTop w:val="0"/>
      <w:marBottom w:val="0"/>
      <w:divBdr>
        <w:top w:val="none" w:sz="0" w:space="0" w:color="auto"/>
        <w:left w:val="none" w:sz="0" w:space="0" w:color="auto"/>
        <w:bottom w:val="none" w:sz="0" w:space="0" w:color="auto"/>
        <w:right w:val="none" w:sz="0" w:space="0" w:color="auto"/>
      </w:divBdr>
    </w:div>
    <w:div w:id="1192373845">
      <w:bodyDiv w:val="1"/>
      <w:marLeft w:val="0"/>
      <w:marRight w:val="0"/>
      <w:marTop w:val="0"/>
      <w:marBottom w:val="0"/>
      <w:divBdr>
        <w:top w:val="none" w:sz="0" w:space="0" w:color="auto"/>
        <w:left w:val="none" w:sz="0" w:space="0" w:color="auto"/>
        <w:bottom w:val="none" w:sz="0" w:space="0" w:color="auto"/>
        <w:right w:val="none" w:sz="0" w:space="0" w:color="auto"/>
      </w:divBdr>
    </w:div>
    <w:div w:id="1264267884">
      <w:bodyDiv w:val="1"/>
      <w:marLeft w:val="0"/>
      <w:marRight w:val="0"/>
      <w:marTop w:val="0"/>
      <w:marBottom w:val="0"/>
      <w:divBdr>
        <w:top w:val="none" w:sz="0" w:space="0" w:color="auto"/>
        <w:left w:val="none" w:sz="0" w:space="0" w:color="auto"/>
        <w:bottom w:val="none" w:sz="0" w:space="0" w:color="auto"/>
        <w:right w:val="none" w:sz="0" w:space="0" w:color="auto"/>
      </w:divBdr>
    </w:div>
    <w:div w:id="133329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arnockr\Box%20Sync\---Systematic%20Review%20Quality%20Domains---\1.%20Delivery%20SR\Risk%20of%20bias\Risk%20of%20Bias%20data_combined_16Mar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Summary</a:t>
            </a:r>
            <a:r>
              <a:rPr lang="en-GB" baseline="0"/>
              <a:t> of risk of bias assessment of included studies</a:t>
            </a:r>
            <a:endParaRPr lang="en-GB"/>
          </a:p>
        </c:rich>
      </c:tx>
      <c:overlay val="0"/>
    </c:title>
    <c:autoTitleDeleted val="0"/>
    <c:plotArea>
      <c:layout/>
      <c:barChart>
        <c:barDir val="bar"/>
        <c:grouping val="percentStacked"/>
        <c:varyColors val="0"/>
        <c:ser>
          <c:idx val="0"/>
          <c:order val="0"/>
          <c:tx>
            <c:strRef>
              <c:f>'RoB Graph'!$B$1</c:f>
              <c:strCache>
                <c:ptCount val="1"/>
                <c:pt idx="0">
                  <c:v>Low risk of bias</c:v>
                </c:pt>
              </c:strCache>
            </c:strRef>
          </c:tx>
          <c:spPr>
            <a:solidFill>
              <a:srgbClr val="00B050"/>
            </a:solidFill>
          </c:spPr>
          <c:invertIfNegative val="0"/>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835-45A9-B7BB-41FA911BEECB}"/>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'RoB Graph'!$A$2:$A$5</c:f>
              <c:strCache>
                <c:ptCount val="4"/>
                <c:pt idx="0">
                  <c:v>Other biases</c:v>
                </c:pt>
                <c:pt idx="1">
                  <c:v>Outcome and analysis reporting biases</c:v>
                </c:pt>
                <c:pt idx="2">
                  <c:v>Performance bias</c:v>
                </c:pt>
                <c:pt idx="3">
                  <c:v>Selection bias and confounding</c:v>
                </c:pt>
              </c:strCache>
            </c:strRef>
          </c:cat>
          <c:val>
            <c:numRef>
              <c:f>'RoB Graph'!$B$2:$B$5</c:f>
              <c:numCache>
                <c:formatCode>0%</c:formatCode>
                <c:ptCount val="4"/>
                <c:pt idx="0">
                  <c:v>0.4</c:v>
                </c:pt>
                <c:pt idx="1">
                  <c:v>0.2857142857142857</c:v>
                </c:pt>
                <c:pt idx="2">
                  <c:v>0.25714285714285712</c:v>
                </c:pt>
                <c:pt idx="3">
                  <c:v>0.22857142857142856</c:v>
                </c:pt>
              </c:numCache>
            </c:numRef>
          </c:val>
          <c:extLst xmlns:c16r2="http://schemas.microsoft.com/office/drawing/2015/06/chart">
            <c:ext xmlns:c16="http://schemas.microsoft.com/office/drawing/2014/chart" uri="{C3380CC4-5D6E-409C-BE32-E72D297353CC}">
              <c16:uniqueId val="{00000001-E835-45A9-B7BB-41FA911BEECB}"/>
            </c:ext>
          </c:extLst>
        </c:ser>
        <c:ser>
          <c:idx val="1"/>
          <c:order val="1"/>
          <c:tx>
            <c:strRef>
              <c:f>'RoB Graph'!$C$1</c:f>
              <c:strCache>
                <c:ptCount val="1"/>
                <c:pt idx="0">
                  <c:v>Medium risk of bias</c:v>
                </c:pt>
              </c:strCache>
            </c:strRef>
          </c:tx>
          <c:spPr>
            <a:solidFill>
              <a:srgbClr val="FFC00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'RoB Graph'!$A$2:$A$5</c:f>
              <c:strCache>
                <c:ptCount val="4"/>
                <c:pt idx="0">
                  <c:v>Other biases</c:v>
                </c:pt>
                <c:pt idx="1">
                  <c:v>Outcome and analysis reporting biases</c:v>
                </c:pt>
                <c:pt idx="2">
                  <c:v>Performance bias</c:v>
                </c:pt>
                <c:pt idx="3">
                  <c:v>Selection bias and confounding</c:v>
                </c:pt>
              </c:strCache>
            </c:strRef>
          </c:cat>
          <c:val>
            <c:numRef>
              <c:f>'RoB Graph'!$C$2:$C$5</c:f>
              <c:numCache>
                <c:formatCode>0%</c:formatCode>
                <c:ptCount val="4"/>
                <c:pt idx="0">
                  <c:v>0.2857142857142857</c:v>
                </c:pt>
                <c:pt idx="1">
                  <c:v>0.51428571428571423</c:v>
                </c:pt>
                <c:pt idx="2">
                  <c:v>0.51428571428571423</c:v>
                </c:pt>
                <c:pt idx="3">
                  <c:v>0.4</c:v>
                </c:pt>
              </c:numCache>
            </c:numRef>
          </c:val>
          <c:extLst xmlns:c16r2="http://schemas.microsoft.com/office/drawing/2015/06/chart">
            <c:ext xmlns:c16="http://schemas.microsoft.com/office/drawing/2014/chart" uri="{C3380CC4-5D6E-409C-BE32-E72D297353CC}">
              <c16:uniqueId val="{00000002-E835-45A9-B7BB-41FA911BEECB}"/>
            </c:ext>
          </c:extLst>
        </c:ser>
        <c:ser>
          <c:idx val="2"/>
          <c:order val="2"/>
          <c:tx>
            <c:strRef>
              <c:f>'RoB Graph'!$D$1</c:f>
              <c:strCache>
                <c:ptCount val="1"/>
                <c:pt idx="0">
                  <c:v>High risk of bias</c:v>
                </c:pt>
              </c:strCache>
            </c:strRef>
          </c:tx>
          <c:spPr>
            <a:solidFill>
              <a:srgbClr val="FF000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'RoB Graph'!$A$2:$A$5</c:f>
              <c:strCache>
                <c:ptCount val="4"/>
                <c:pt idx="0">
                  <c:v>Other biases</c:v>
                </c:pt>
                <c:pt idx="1">
                  <c:v>Outcome and analysis reporting biases</c:v>
                </c:pt>
                <c:pt idx="2">
                  <c:v>Performance bias</c:v>
                </c:pt>
                <c:pt idx="3">
                  <c:v>Selection bias and confounding</c:v>
                </c:pt>
              </c:strCache>
            </c:strRef>
          </c:cat>
          <c:val>
            <c:numRef>
              <c:f>'RoB Graph'!$D$2:$D$5</c:f>
              <c:numCache>
                <c:formatCode>0%</c:formatCode>
                <c:ptCount val="4"/>
                <c:pt idx="0">
                  <c:v>0.31428571428571428</c:v>
                </c:pt>
                <c:pt idx="1">
                  <c:v>0.2</c:v>
                </c:pt>
                <c:pt idx="2">
                  <c:v>0.22857142857142856</c:v>
                </c:pt>
                <c:pt idx="3">
                  <c:v>0.37142857142857144</c:v>
                </c:pt>
              </c:numCache>
            </c:numRef>
          </c:val>
          <c:extLst xmlns:c16r2="http://schemas.microsoft.com/office/drawing/2015/06/chart">
            <c:ext xmlns:c16="http://schemas.microsoft.com/office/drawing/2014/chart" uri="{C3380CC4-5D6E-409C-BE32-E72D297353CC}">
              <c16:uniqueId val="{00000003-E835-45A9-B7BB-41FA911BEECB}"/>
            </c:ext>
          </c:extLst>
        </c:ser>
        <c:dLbls>
          <c:showLegendKey val="0"/>
          <c:showVal val="1"/>
          <c:showCatName val="0"/>
          <c:showSerName val="0"/>
          <c:showPercent val="0"/>
          <c:showBubbleSize val="0"/>
        </c:dLbls>
        <c:gapWidth val="75"/>
        <c:overlap val="100"/>
        <c:axId val="72716672"/>
        <c:axId val="72718208"/>
      </c:barChart>
      <c:catAx>
        <c:axId val="72716672"/>
        <c:scaling>
          <c:orientation val="minMax"/>
        </c:scaling>
        <c:delete val="0"/>
        <c:axPos val="l"/>
        <c:numFmt formatCode="General" sourceLinked="0"/>
        <c:majorTickMark val="none"/>
        <c:minorTickMark val="none"/>
        <c:tickLblPos val="nextTo"/>
        <c:txPr>
          <a:bodyPr/>
          <a:lstStyle/>
          <a:p>
            <a:pPr>
              <a:defRPr sz="1400"/>
            </a:pPr>
            <a:endParaRPr lang="en-US"/>
          </a:p>
        </c:txPr>
        <c:crossAx val="72718208"/>
        <c:crosses val="autoZero"/>
        <c:auto val="1"/>
        <c:lblAlgn val="ctr"/>
        <c:lblOffset val="100"/>
        <c:noMultiLvlLbl val="0"/>
      </c:catAx>
      <c:valAx>
        <c:axId val="72718208"/>
        <c:scaling>
          <c:orientation val="minMax"/>
        </c:scaling>
        <c:delete val="0"/>
        <c:axPos val="b"/>
        <c:majorGridlines/>
        <c:numFmt formatCode="0%" sourceLinked="1"/>
        <c:majorTickMark val="none"/>
        <c:minorTickMark val="none"/>
        <c:tickLblPos val="nextTo"/>
        <c:spPr>
          <a:ln w="9525">
            <a:noFill/>
          </a:ln>
        </c:spPr>
        <c:crossAx val="72716672"/>
        <c:crosses val="autoZero"/>
        <c:crossBetween val="between"/>
      </c:valAx>
    </c:plotArea>
    <c:legend>
      <c:legendPos val="b"/>
      <c:overlay val="0"/>
      <c:txPr>
        <a:bodyPr/>
        <a:lstStyle/>
        <a:p>
          <a:pPr>
            <a:defRPr sz="1400"/>
          </a:pPr>
          <a:endParaRPr lang="en-US"/>
        </a:p>
      </c:txPr>
    </c:legend>
    <c:plotVisOnly val="1"/>
    <c:dispBlanksAs val="gap"/>
    <c:showDLblsOverMax val="0"/>
  </c:chart>
  <c:spPr>
    <a:solidFill>
      <a:schemeClr val="bg1"/>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5AE90-DCBB-439E-96F4-1A390C3E4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940</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Warnock, Ruby</dc:creator>
  <cp:keywords/>
  <dc:description/>
  <cp:lastModifiedBy>Calumpang, Mario Jade</cp:lastModifiedBy>
  <cp:revision>5</cp:revision>
  <dcterms:created xsi:type="dcterms:W3CDTF">2018-08-03T18:34:00Z</dcterms:created>
  <dcterms:modified xsi:type="dcterms:W3CDTF">2018-08-29T18:28:00Z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zotero-version="5.0.11"&gt;&lt;session id="pxVhRaNT"/&gt;&lt;style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 name="noteType" value="0"/&gt;&lt;/prefs&gt;&lt;/data&gt;</vt:lpwstr>
  </property>
</Properties>
</file>