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F8E82" w14:textId="77777777" w:rsidR="00B41D3D" w:rsidRPr="00E75CB3" w:rsidRDefault="00B41D3D" w:rsidP="00B41D3D">
      <w:pPr>
        <w:rPr>
          <w:b/>
          <w:sz w:val="28"/>
        </w:rPr>
      </w:pPr>
      <w:r w:rsidRPr="00E75CB3">
        <w:rPr>
          <w:b/>
          <w:sz w:val="28"/>
        </w:rPr>
        <w:t>Supplementary Material</w:t>
      </w:r>
    </w:p>
    <w:p w14:paraId="334AD7A9" w14:textId="72E7DC5F" w:rsidR="00B41D3D" w:rsidRPr="00E75CB3" w:rsidRDefault="00B41D3D" w:rsidP="00B41D3D">
      <w:pPr>
        <w:spacing w:after="0"/>
        <w:rPr>
          <w:rFonts w:cstheme="minorHAnsi"/>
          <w:b/>
          <w:sz w:val="28"/>
        </w:rPr>
      </w:pPr>
      <w:r>
        <w:rPr>
          <w:rFonts w:cstheme="minorHAnsi"/>
          <w:b/>
          <w:sz w:val="28"/>
        </w:rPr>
        <w:t>Cooking</w:t>
      </w:r>
      <w:r w:rsidRPr="00E75CB3">
        <w:rPr>
          <w:rFonts w:cstheme="minorHAnsi"/>
          <w:b/>
          <w:sz w:val="28"/>
        </w:rPr>
        <w:t xml:space="preserve"> Fuel Use and Adverse Pregnancy Outcomes in </w:t>
      </w:r>
      <w:proofErr w:type="gramStart"/>
      <w:r w:rsidRPr="00E75CB3">
        <w:rPr>
          <w:rFonts w:cstheme="minorHAnsi"/>
          <w:b/>
          <w:sz w:val="28"/>
        </w:rPr>
        <w:t>A</w:t>
      </w:r>
      <w:proofErr w:type="gramEnd"/>
      <w:r w:rsidRPr="00E75CB3">
        <w:rPr>
          <w:rFonts w:cstheme="minorHAnsi"/>
          <w:b/>
          <w:sz w:val="28"/>
        </w:rPr>
        <w:t xml:space="preserve"> Ghanaian Cohort</w:t>
      </w:r>
    </w:p>
    <w:p w14:paraId="59403E58" w14:textId="77777777" w:rsidR="00B41D3D" w:rsidRPr="00E75CB3" w:rsidRDefault="00B41D3D" w:rsidP="00B41D3D">
      <w:pPr>
        <w:spacing w:after="0"/>
        <w:rPr>
          <w:rFonts w:cstheme="minorHAnsi"/>
          <w:sz w:val="24"/>
        </w:rPr>
      </w:pPr>
      <w:r w:rsidRPr="00E75CB3">
        <w:rPr>
          <w:rFonts w:cstheme="minorHAnsi"/>
          <w:sz w:val="24"/>
        </w:rPr>
        <w:t xml:space="preserve">Eartha Weber, Kwame </w:t>
      </w:r>
      <w:proofErr w:type="spellStart"/>
      <w:r w:rsidRPr="00E75CB3">
        <w:rPr>
          <w:rFonts w:cstheme="minorHAnsi"/>
          <w:sz w:val="24"/>
        </w:rPr>
        <w:t>Adu-Bonsaffoh</w:t>
      </w:r>
      <w:proofErr w:type="spellEnd"/>
      <w:r w:rsidRPr="00E75CB3">
        <w:rPr>
          <w:rFonts w:cstheme="minorHAnsi"/>
          <w:sz w:val="24"/>
        </w:rPr>
        <w:t xml:space="preserve">, </w:t>
      </w:r>
      <w:proofErr w:type="spellStart"/>
      <w:r w:rsidRPr="00E75CB3">
        <w:rPr>
          <w:rFonts w:cstheme="minorHAnsi"/>
          <w:sz w:val="24"/>
        </w:rPr>
        <w:t>Roel</w:t>
      </w:r>
      <w:proofErr w:type="spellEnd"/>
      <w:r w:rsidRPr="00E75CB3">
        <w:rPr>
          <w:rFonts w:cstheme="minorHAnsi"/>
          <w:sz w:val="24"/>
        </w:rPr>
        <w:t xml:space="preserve"> Vermeulen, Kerstin </w:t>
      </w:r>
      <w:proofErr w:type="spellStart"/>
      <w:r w:rsidRPr="00E75CB3">
        <w:rPr>
          <w:rFonts w:cstheme="minorHAnsi"/>
          <w:sz w:val="24"/>
        </w:rPr>
        <w:t>Klipstein-Grobusch</w:t>
      </w:r>
      <w:proofErr w:type="spellEnd"/>
      <w:r w:rsidRPr="00E75CB3">
        <w:rPr>
          <w:rFonts w:cstheme="minorHAnsi"/>
          <w:sz w:val="24"/>
        </w:rPr>
        <w:t xml:space="preserve">, </w:t>
      </w:r>
      <w:proofErr w:type="spellStart"/>
      <w:r w:rsidRPr="00E75CB3">
        <w:rPr>
          <w:rFonts w:cstheme="minorHAnsi"/>
          <w:sz w:val="24"/>
        </w:rPr>
        <w:t>Diederick</w:t>
      </w:r>
      <w:proofErr w:type="spellEnd"/>
      <w:r w:rsidRPr="00E75CB3">
        <w:rPr>
          <w:rFonts w:cstheme="minorHAnsi"/>
          <w:sz w:val="24"/>
        </w:rPr>
        <w:t xml:space="preserve"> E. </w:t>
      </w:r>
      <w:proofErr w:type="spellStart"/>
      <w:r w:rsidRPr="00E75CB3">
        <w:rPr>
          <w:rFonts w:cstheme="minorHAnsi"/>
          <w:sz w:val="24"/>
        </w:rPr>
        <w:t>Grobbee</w:t>
      </w:r>
      <w:proofErr w:type="spellEnd"/>
      <w:r w:rsidRPr="00E75CB3">
        <w:rPr>
          <w:rFonts w:cstheme="minorHAnsi"/>
          <w:sz w:val="24"/>
        </w:rPr>
        <w:t>,  Joyce L. Browne, George S. Downward,</w:t>
      </w:r>
    </w:p>
    <w:p w14:paraId="10A4888B" w14:textId="77777777" w:rsidR="00B41D3D" w:rsidRDefault="00B41D3D" w:rsidP="00B41D3D">
      <w:pPr>
        <w:rPr>
          <w:sz w:val="24"/>
        </w:rPr>
      </w:pPr>
    </w:p>
    <w:p w14:paraId="1316F66B" w14:textId="77777777" w:rsidR="00B41D3D" w:rsidRPr="00E75CB3" w:rsidRDefault="00B41D3D" w:rsidP="00B41D3D">
      <w:pPr>
        <w:rPr>
          <w:sz w:val="24"/>
        </w:rPr>
      </w:pPr>
      <w:r>
        <w:rPr>
          <w:sz w:val="24"/>
        </w:rPr>
        <w:br w:type="page"/>
      </w:r>
      <w:bookmarkStart w:id="0" w:name="_GoBack"/>
      <w:r w:rsidRPr="00E75CB3">
        <w:rPr>
          <w:rFonts w:eastAsiaTheme="majorEastAsia" w:cstheme="majorBidi"/>
          <w:b/>
          <w:caps/>
          <w:szCs w:val="36"/>
          <w:lang w:val="en-US"/>
        </w:rPr>
        <w:lastRenderedPageBreak/>
        <w:t>Table S.1 Definitions of Adverse Pregnancy Outcomes</w:t>
      </w:r>
    </w:p>
    <w:tbl>
      <w:tblPr>
        <w:tblW w:w="10632" w:type="dxa"/>
        <w:tblInd w:w="-572" w:type="dxa"/>
        <w:tblLook w:val="04A0" w:firstRow="1" w:lastRow="0" w:firstColumn="1" w:lastColumn="0" w:noHBand="0" w:noVBand="1"/>
      </w:tblPr>
      <w:tblGrid>
        <w:gridCol w:w="5250"/>
        <w:gridCol w:w="5382"/>
      </w:tblGrid>
      <w:tr w:rsidR="00B41D3D" w:rsidRPr="00E75CB3" w14:paraId="32F864FA" w14:textId="77777777" w:rsidTr="00B41D3D">
        <w:tc>
          <w:tcPr>
            <w:tcW w:w="5250" w:type="dxa"/>
            <w:tcBorders>
              <w:top w:val="single" w:sz="4" w:space="0" w:color="auto"/>
              <w:left w:val="single" w:sz="4" w:space="0" w:color="auto"/>
              <w:bottom w:val="single" w:sz="4" w:space="0" w:color="auto"/>
              <w:right w:val="single" w:sz="4" w:space="0" w:color="auto"/>
            </w:tcBorders>
            <w:hideMark/>
          </w:tcPr>
          <w:bookmarkEnd w:id="0"/>
          <w:p w14:paraId="72F82A01" w14:textId="77777777" w:rsidR="00B41D3D" w:rsidRPr="00E75CB3" w:rsidRDefault="00B41D3D" w:rsidP="00B41D3D">
            <w:pPr>
              <w:spacing w:after="0" w:line="276" w:lineRule="auto"/>
              <w:rPr>
                <w:rFonts w:eastAsiaTheme="minorEastAsia" w:cstheme="minorHAnsi"/>
                <w:b/>
                <w:sz w:val="20"/>
                <w:szCs w:val="20"/>
                <w:lang w:val="en-US"/>
              </w:rPr>
            </w:pPr>
            <w:r w:rsidRPr="00E75CB3">
              <w:rPr>
                <w:rFonts w:eastAsiaTheme="minorEastAsia" w:cstheme="minorHAnsi"/>
                <w:b/>
                <w:sz w:val="20"/>
                <w:szCs w:val="20"/>
                <w:lang w:val="en-US"/>
              </w:rPr>
              <w:t>Outcome</w:t>
            </w:r>
          </w:p>
        </w:tc>
        <w:tc>
          <w:tcPr>
            <w:tcW w:w="5382" w:type="dxa"/>
            <w:tcBorders>
              <w:top w:val="single" w:sz="4" w:space="0" w:color="auto"/>
              <w:left w:val="single" w:sz="4" w:space="0" w:color="auto"/>
              <w:bottom w:val="single" w:sz="4" w:space="0" w:color="auto"/>
              <w:right w:val="single" w:sz="4" w:space="0" w:color="auto"/>
            </w:tcBorders>
            <w:hideMark/>
          </w:tcPr>
          <w:p w14:paraId="35705EFA" w14:textId="77777777" w:rsidR="00B41D3D" w:rsidRPr="00E75CB3" w:rsidRDefault="00B41D3D" w:rsidP="00B41D3D">
            <w:pPr>
              <w:spacing w:after="0" w:line="276" w:lineRule="auto"/>
              <w:rPr>
                <w:rFonts w:eastAsiaTheme="minorEastAsia" w:cstheme="minorHAnsi"/>
                <w:b/>
                <w:sz w:val="20"/>
                <w:szCs w:val="20"/>
                <w:lang w:val="en-US"/>
              </w:rPr>
            </w:pPr>
            <w:r w:rsidRPr="00E75CB3">
              <w:rPr>
                <w:rFonts w:eastAsiaTheme="minorEastAsia" w:cstheme="minorHAnsi"/>
                <w:b/>
                <w:sz w:val="20"/>
                <w:szCs w:val="20"/>
                <w:lang w:val="en-US"/>
              </w:rPr>
              <w:t>Definition</w:t>
            </w:r>
          </w:p>
        </w:tc>
      </w:tr>
      <w:tr w:rsidR="00B41D3D" w:rsidRPr="00E75CB3" w14:paraId="1A478289" w14:textId="77777777" w:rsidTr="00B41D3D">
        <w:tc>
          <w:tcPr>
            <w:tcW w:w="5250" w:type="dxa"/>
            <w:tcBorders>
              <w:top w:val="single" w:sz="4" w:space="0" w:color="auto"/>
              <w:left w:val="single" w:sz="4" w:space="0" w:color="auto"/>
              <w:bottom w:val="single" w:sz="4" w:space="0" w:color="auto"/>
              <w:right w:val="single" w:sz="4" w:space="0" w:color="auto"/>
            </w:tcBorders>
            <w:hideMark/>
          </w:tcPr>
          <w:p w14:paraId="7E46A195"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Mode of delivery</w:t>
            </w:r>
          </w:p>
        </w:tc>
        <w:tc>
          <w:tcPr>
            <w:tcW w:w="5382" w:type="dxa"/>
            <w:tcBorders>
              <w:top w:val="single" w:sz="4" w:space="0" w:color="auto"/>
              <w:left w:val="single" w:sz="4" w:space="0" w:color="auto"/>
              <w:bottom w:val="single" w:sz="4" w:space="0" w:color="auto"/>
              <w:right w:val="single" w:sz="4" w:space="0" w:color="auto"/>
            </w:tcBorders>
          </w:tcPr>
          <w:p w14:paraId="76B1DE5E"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 xml:space="preserve">The mode of delivery was categorized into those who gave birth vaginally or with a caesarean section. </w:t>
            </w:r>
          </w:p>
          <w:p w14:paraId="20ACA520" w14:textId="77777777" w:rsidR="00B41D3D" w:rsidRPr="00E75CB3" w:rsidRDefault="00B41D3D" w:rsidP="00B41D3D">
            <w:pPr>
              <w:spacing w:after="0" w:line="276" w:lineRule="auto"/>
              <w:rPr>
                <w:rFonts w:eastAsiaTheme="minorEastAsia" w:cstheme="minorHAnsi"/>
                <w:sz w:val="20"/>
                <w:szCs w:val="20"/>
                <w:lang w:val="en-US"/>
              </w:rPr>
            </w:pPr>
          </w:p>
        </w:tc>
      </w:tr>
      <w:tr w:rsidR="00B41D3D" w:rsidRPr="00E75CB3" w14:paraId="31903EB3" w14:textId="77777777" w:rsidTr="00B41D3D">
        <w:tc>
          <w:tcPr>
            <w:tcW w:w="5250" w:type="dxa"/>
            <w:tcBorders>
              <w:top w:val="single" w:sz="4" w:space="0" w:color="auto"/>
              <w:left w:val="single" w:sz="4" w:space="0" w:color="auto"/>
              <w:bottom w:val="single" w:sz="4" w:space="0" w:color="auto"/>
              <w:right w:val="single" w:sz="4" w:space="0" w:color="auto"/>
            </w:tcBorders>
          </w:tcPr>
          <w:p w14:paraId="4467874E"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Postpartum hemorrhage (PPH)</w:t>
            </w:r>
          </w:p>
          <w:p w14:paraId="52BE8464" w14:textId="77777777" w:rsidR="00B41D3D" w:rsidRPr="00E75CB3" w:rsidRDefault="00B41D3D" w:rsidP="00B41D3D">
            <w:pPr>
              <w:spacing w:after="0" w:line="276" w:lineRule="auto"/>
              <w:rPr>
                <w:rFonts w:eastAsiaTheme="minorEastAsia" w:cstheme="minorHAnsi"/>
                <w:i/>
                <w:sz w:val="20"/>
                <w:szCs w:val="20"/>
                <w:lang w:val="en-US"/>
              </w:rPr>
            </w:pPr>
          </w:p>
        </w:tc>
        <w:tc>
          <w:tcPr>
            <w:tcW w:w="5382" w:type="dxa"/>
            <w:tcBorders>
              <w:top w:val="single" w:sz="4" w:space="0" w:color="auto"/>
              <w:left w:val="single" w:sz="4" w:space="0" w:color="auto"/>
              <w:bottom w:val="single" w:sz="4" w:space="0" w:color="auto"/>
              <w:right w:val="single" w:sz="4" w:space="0" w:color="auto"/>
            </w:tcBorders>
            <w:hideMark/>
          </w:tcPr>
          <w:p w14:paraId="71E9CDFC"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Primary PPH: more than 500ml of blood loss within 24 hours of delivery for vaginal birth or 1000ml or more for cesarean section. The blood loss was assessed visually by the midwife or doctor who conducted the delivery. Postpartum hemorrhage was considered secondary if it occurred after 24 hours following delivery.</w:t>
            </w:r>
          </w:p>
        </w:tc>
      </w:tr>
      <w:tr w:rsidR="00B41D3D" w:rsidRPr="00E75CB3" w14:paraId="1804D5B2" w14:textId="77777777" w:rsidTr="00B41D3D">
        <w:tc>
          <w:tcPr>
            <w:tcW w:w="5250" w:type="dxa"/>
            <w:tcBorders>
              <w:top w:val="single" w:sz="4" w:space="0" w:color="auto"/>
              <w:left w:val="single" w:sz="4" w:space="0" w:color="auto"/>
              <w:bottom w:val="single" w:sz="4" w:space="0" w:color="auto"/>
              <w:right w:val="single" w:sz="4" w:space="0" w:color="auto"/>
            </w:tcBorders>
          </w:tcPr>
          <w:p w14:paraId="05C22023"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Gestational Induced hypertensive disorders (gestational hypertension, pre-eclampsia/eclampsia, HELLP syndrome or chronic hypertension.)</w:t>
            </w:r>
          </w:p>
          <w:p w14:paraId="0357A0A8" w14:textId="77777777" w:rsidR="00B41D3D" w:rsidRPr="00E75CB3" w:rsidRDefault="00B41D3D" w:rsidP="00B41D3D">
            <w:pPr>
              <w:spacing w:after="0" w:line="276" w:lineRule="auto"/>
              <w:rPr>
                <w:rFonts w:eastAsiaTheme="minorEastAsia" w:cstheme="minorHAnsi"/>
                <w:sz w:val="20"/>
                <w:szCs w:val="20"/>
                <w:lang w:val="en-US"/>
              </w:rPr>
            </w:pPr>
          </w:p>
        </w:tc>
        <w:tc>
          <w:tcPr>
            <w:tcW w:w="5382" w:type="dxa"/>
            <w:tcBorders>
              <w:top w:val="single" w:sz="4" w:space="0" w:color="auto"/>
              <w:left w:val="single" w:sz="4" w:space="0" w:color="auto"/>
              <w:bottom w:val="single" w:sz="4" w:space="0" w:color="auto"/>
              <w:right w:val="single" w:sz="4" w:space="0" w:color="auto"/>
            </w:tcBorders>
          </w:tcPr>
          <w:p w14:paraId="53BAFA83"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Gestational hypertension was assigned any time after 20 weeks of gestation with either a systolic blood pressure of ≥140 mmHg or diastolic blood pressure of ≥90 mmHg</w:t>
            </w:r>
            <w:r w:rsidRPr="00E75CB3">
              <w:rPr>
                <w:rFonts w:eastAsiaTheme="minorEastAsia"/>
                <w:sz w:val="20"/>
                <w:szCs w:val="20"/>
              </w:rPr>
              <w:fldChar w:fldCharType="begin"/>
            </w:r>
            <w:r w:rsidRPr="00E75CB3">
              <w:rPr>
                <w:rFonts w:eastAsiaTheme="minorEastAsia" w:cstheme="minorHAnsi"/>
                <w:sz w:val="20"/>
                <w:szCs w:val="20"/>
                <w:lang w:val="en-US"/>
              </w:rPr>
              <w:instrText xml:space="preserve"> ADDIN ZOTERO_ITEM CSL_CITATION {"citationID":"4X3tAekw","properties":{"formattedCitation":"{\\rtf \\super 2,4\\nosupersub{}}","plainCitation":"2,4","dontUpdate":true},"citationItems":[{"id":1195,"uris":["http://zotero.org/users/4547460/items/I4JUE6QH"],"uri":["http://zotero.org/users/4547460/items/I4JUE6QH"],"itemData":{"id":1195,"type":"article-journal","title":"Equity in maternal health outcomes in a middle-income urban setting: a cohort study","author":[{"family":"Groot","given":"Amanda De"},{"literal":"Van de Munt, Lisanne"},{"family":"Boateng","given":"Daniel"},{"family":"Savitri","given":"Ary"},{"family":"Antwi","given":"Edward"},{"family":"Bolten","given":"Nienke"},{"family":"Klipstein-Grobusch","given":"Kerstin"},{"family":"Cuno SPM","given":"Uiterwaal"},{"family":"Browne","given":"Joyce L."}]}},{"id":1205,"uris":["http://zotero.org/users/4547460/items/MF9G5WUK"],"uri":["http://zotero.org/users/4547460/items/MF9G5WUK"],"itemData":{"id":1205,"type":"article-journal","title":"The classification, diagnosis and management of the hypertensive disorders of pregnancy: A revised statement from the ISSHP","container-title":"Pregnancy Hypertension: An International Journal of Women's Cardiovascular Health","page":"97-104","volume":"4","issue":"2","source":"Crossref","DOI":"10.1016/j.preghy.2014.02.001","ISSN":"22107789","shortTitle":"The classification, diagnosis and management of the hypertensive disorders of pregnancy","language":"en","author":[{"family":"Tranquilli","given":"A.L."},{"family":"Dekker","given":"G."},{"family":"Magee","given":"L."},{"family":"Roberts","given":"J."},{"family":"Sibai","given":"B.M."},{"family":"Steyn","given":"W."},{"family":"Zeeman","given":"G.G."},{"family":"Brown","given":"M.A."}],"issued":{"date-parts":[["2014",4]]}}}],"schema":"https://github.com/citation-style-language/schema/raw/master/csl-citation.json"} </w:instrText>
            </w:r>
            <w:r w:rsidRPr="00E75CB3">
              <w:rPr>
                <w:rFonts w:eastAsiaTheme="minorEastAsia"/>
                <w:sz w:val="20"/>
                <w:szCs w:val="20"/>
              </w:rPr>
              <w:fldChar w:fldCharType="separate"/>
            </w:r>
            <w:r w:rsidRPr="00E75CB3">
              <w:rPr>
                <w:rFonts w:eastAsiaTheme="minorEastAsia" w:cstheme="minorHAnsi"/>
                <w:sz w:val="20"/>
                <w:szCs w:val="20"/>
                <w:vertAlign w:val="superscript"/>
              </w:rPr>
              <w:t>4</w:t>
            </w:r>
            <w:r w:rsidRPr="00E75CB3">
              <w:rPr>
                <w:rFonts w:eastAsiaTheme="minorEastAsia"/>
                <w:sz w:val="20"/>
                <w:szCs w:val="20"/>
              </w:rPr>
              <w:fldChar w:fldCharType="end"/>
            </w:r>
            <w:r w:rsidRPr="00E75CB3">
              <w:rPr>
                <w:rFonts w:eastAsiaTheme="minorEastAsia" w:cstheme="minorHAnsi"/>
                <w:sz w:val="20"/>
                <w:szCs w:val="20"/>
                <w:lang w:val="en-US"/>
              </w:rPr>
              <w:t xml:space="preserve"> or both confirmed with two measurements without significant proteinuria</w:t>
            </w:r>
            <w:r w:rsidRPr="00E75CB3">
              <w:rPr>
                <w:rFonts w:eastAsiaTheme="minorEastAsia" w:cstheme="minorHAnsi"/>
                <w:sz w:val="20"/>
                <w:szCs w:val="20"/>
                <w:lang w:val="en-US"/>
              </w:rPr>
              <w:fldChar w:fldCharType="begin"/>
            </w:r>
            <w:r>
              <w:rPr>
                <w:rFonts w:eastAsiaTheme="minorEastAsia" w:cstheme="minorHAnsi"/>
                <w:sz w:val="20"/>
                <w:szCs w:val="20"/>
                <w:lang w:val="en-US"/>
              </w:rPr>
              <w:instrText xml:space="preserve"> ADDIN ZOTERO_ITEM CSL_CITATION {"citationID":"2bcnu0mk6l","properties":{"formattedCitation":"{\\rtf \\super 3,4\\nosupersub{}}","plainCitation":"3,4"},"citationItems":[{"id":1282,"uris":["http://zotero.org/users/4547460/items/27ADTGA5"],"uri":["http://zotero.org/users/4547460/items/27ADTGA5"],"itemData":{"id":1282,"type":"article-journal","title":"The Classification and Diagnosis of the Hypertensive Disorders of Pregnancy: Statement from the International Society for the Study of Hypertension in Pregnancy (ISSHP)","container-title":"Hypertension in Pregnancy","page":"ix-xiv","volume":"20","issue":"1","source":"Taylor and Francis+NEJM","DOI":"10.3109/10641950109152635","ISSN":"1064-1955","note":"PMID: 12044323","shortTitle":"The Classification and Diagnosis of the Hypertensive Disorders of Pregnancy","author":[{"family":"Brown","given":"Mark A."},{"family":"Lindheimer","given":"Marshall D."},{"family":"Swiet","given":"Michael","dropping-particle":"de"},{"family":"Assche","given":"Andre Van"},{"family":"Moutquin","given":"Jean-Marie"}],"issued":{"date-parts":[["2001",1,1]]},"PMID":"12044323"}},{"id":1279,"uris":["http://zotero.org/users/4547460/items/ZUNFW245"],"uri":["http://zotero.org/users/4547460/items/ZUNFW245"],"itemData":{"id":1279,"type":"article-journal","title":"Pre-eclampsia","container-title":"Lancet (London, England)","page":"631-644","volume":"376","issue":"9741","source":"PubMed","abstract":"Pre-eclampsia remains a leading cause of maternal and perinatal mortality and morbidity. It is a pregnancy-specific disease characterised by de-novo development of concurrent hypertension and proteinuria, sometimes progressing into a multiorgan cluster of varying clinical features. Poor early placentation is especially associated with early onset disease. Predisposing cardiovascular or metabolic risks for endothelial dysfunction, as part of an exaggerated systemic inflammatory response, might dominate in the origins of late onset pre-eclampsia. Because the multifactorial pathogenesis of different pre-eclampsia phenotypes has not been fully elucidated, prevention and prediction are still not possible, and symptomatic clinical management should be mainly directed to prevent maternal morbidity (eg, eclampsia) and mortality. Expectant management of women with early onset disease to improve perinatal outcome should not preclude timely delivery-the only definitive cure. Pre-eclampsia foretells raised rates of cardiovascular and metabolic disease in later life, which could be reason for subsequent lifestyle education and intervention.","DOI":"10.1016/S0140-6736(10)60279-6","ISSN":"1474-547X","note":"PMID: 20598363","journalAbbreviation":"Lancet","language":"eng","author":[{"family":"Steegers","given":"Eric A. P."},{"family":"Dadelszen","given":"Peter","non-dropping-particle":"von"},{"family":"Duvekot","given":"Johannes J."},{"family":"Pijnenborg","given":"Robert"}],"issued":{"date-parts":[["2010",8,21]]},"PMID":"20598363"}}],"schema":"https://github.com/citation-style-language/schema/raw/master/csl-citation.json"} </w:instrText>
            </w:r>
            <w:r w:rsidRPr="00E75CB3">
              <w:rPr>
                <w:rFonts w:eastAsiaTheme="minorEastAsia" w:cstheme="minorHAnsi"/>
                <w:sz w:val="20"/>
                <w:szCs w:val="20"/>
                <w:lang w:val="en-US"/>
              </w:rPr>
              <w:fldChar w:fldCharType="separate"/>
            </w:r>
            <w:r w:rsidRPr="00E201D6">
              <w:rPr>
                <w:rFonts w:ascii="Calibri" w:hAnsi="Calibri" w:cs="Calibri"/>
                <w:sz w:val="20"/>
                <w:szCs w:val="24"/>
                <w:vertAlign w:val="superscript"/>
              </w:rPr>
              <w:t>3,4</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  Pre-eclampsia was defined as new onset of hypertension and proteinuria of 2+ measured with a urine dipstick occurring after 20 weeks of gestation. Eclampsia was classified as those with pre-eclampsia symptoms with the addition of having tonic-</w:t>
            </w:r>
            <w:proofErr w:type="spellStart"/>
            <w:r w:rsidRPr="00E75CB3">
              <w:rPr>
                <w:rFonts w:eastAsiaTheme="minorEastAsia" w:cstheme="minorHAnsi"/>
                <w:sz w:val="20"/>
                <w:szCs w:val="20"/>
                <w:lang w:val="en-US"/>
              </w:rPr>
              <w:t>clonic</w:t>
            </w:r>
            <w:proofErr w:type="spellEnd"/>
            <w:r w:rsidRPr="00E75CB3">
              <w:rPr>
                <w:rFonts w:eastAsiaTheme="minorEastAsia" w:cstheme="minorHAnsi"/>
                <w:sz w:val="20"/>
                <w:szCs w:val="20"/>
                <w:lang w:val="en-US"/>
              </w:rPr>
              <w:t xml:space="preserve"> seizures</w:t>
            </w:r>
            <w:r w:rsidRPr="00E75CB3">
              <w:rPr>
                <w:rFonts w:eastAsiaTheme="minorEastAsia" w:cstheme="minorHAnsi"/>
                <w:sz w:val="20"/>
                <w:szCs w:val="20"/>
                <w:lang w:val="en-US"/>
              </w:rPr>
              <w:fldChar w:fldCharType="begin"/>
            </w:r>
            <w:r>
              <w:rPr>
                <w:rFonts w:eastAsiaTheme="minorEastAsia" w:cstheme="minorHAnsi"/>
                <w:sz w:val="20"/>
                <w:szCs w:val="20"/>
                <w:lang w:val="en-US"/>
              </w:rPr>
              <w:instrText xml:space="preserve"> ADDIN ZOTERO_ITEM CSL_CITATION {"citationID":"gkv8nlgk9","properties":{"formattedCitation":"{\\rtf \\super 3,4\\nosupersub{}}","plainCitation":"3,4"},"citationItems":[{"id":1282,"uris":["http://zotero.org/users/4547460/items/27ADTGA5"],"uri":["http://zotero.org/users/4547460/items/27ADTGA5"],"itemData":{"id":1282,"type":"article-journal","title":"The Classification and Diagnosis of the Hypertensive Disorders of Pregnancy: Statement from the International Society for the Study of Hypertension in Pregnancy (ISSHP)","container-title":"Hypertension in Pregnancy","page":"ix-xiv","volume":"20","issue":"1","source":"Taylor and Francis+NEJM","DOI":"10.3109/10641950109152635","ISSN":"1064-1955","note":"PMID: 12044323","shortTitle":"The Classification and Diagnosis of the Hypertensive Disorders of Pregnancy","author":[{"family":"Brown","given":"Mark A."},{"family":"Lindheimer","given":"Marshall D."},{"family":"Swiet","given":"Michael","dropping-particle":"de"},{"family":"Assche","given":"Andre Van"},{"family":"Moutquin","given":"Jean-Marie"}],"issued":{"date-parts":[["2001",1,1]]},"PMID":"12044323"}},{"id":1279,"uris":["http://zotero.org/users/4547460/items/ZUNFW245"],"uri":["http://zotero.org/users/4547460/items/ZUNFW245"],"itemData":{"id":1279,"type":"article-journal","title":"Pre-eclampsia","container-title":"Lancet (London, England)","page":"631-644","volume":"376","issue":"9741","source":"PubMed","abstract":"Pre-eclampsia remains a leading cause of maternal and perinatal mortality and morbidity. It is a pregnancy-specific disease characterised by de-novo development of concurrent hypertension and proteinuria, sometimes progressing into a multiorgan cluster of varying clinical features. Poor early placentation is especially associated with early onset disease. Predisposing cardiovascular or metabolic risks for endothelial dysfunction, as part of an exaggerated systemic inflammatory response, might dominate in the origins of late onset pre-eclampsia. Because the multifactorial pathogenesis of different pre-eclampsia phenotypes has not been fully elucidated, prevention and prediction are still not possible, and symptomatic clinical management should be mainly directed to prevent maternal morbidity (eg, eclampsia) and mortality. Expectant management of women with early onset disease to improve perinatal outcome should not preclude timely delivery-the only definitive cure. Pre-eclampsia foretells raised rates of cardiovascular and metabolic disease in later life, which could be reason for subsequent lifestyle education and intervention.","DOI":"10.1016/S0140-6736(10)60279-6","ISSN":"1474-547X","note":"PMID: 20598363","journalAbbreviation":"Lancet","language":"eng","author":[{"family":"Steegers","given":"Eric A. P."},{"family":"Dadelszen","given":"Peter","non-dropping-particle":"von"},{"family":"Duvekot","given":"Johannes J."},{"family":"Pijnenborg","given":"Robert"}],"issued":{"date-parts":[["2010",8,21]]},"PMID":"20598363"}}],"schema":"https://github.com/citation-style-language/schema/raw/master/csl-citation.json"} </w:instrText>
            </w:r>
            <w:r w:rsidRPr="00E75CB3">
              <w:rPr>
                <w:rFonts w:eastAsiaTheme="minorEastAsia" w:cstheme="minorHAnsi"/>
                <w:sz w:val="20"/>
                <w:szCs w:val="20"/>
                <w:lang w:val="en-US"/>
              </w:rPr>
              <w:fldChar w:fldCharType="separate"/>
            </w:r>
            <w:r w:rsidRPr="00E201D6">
              <w:rPr>
                <w:rFonts w:ascii="Calibri" w:hAnsi="Calibri" w:cs="Calibri"/>
                <w:sz w:val="20"/>
                <w:szCs w:val="24"/>
                <w:vertAlign w:val="superscript"/>
              </w:rPr>
              <w:t>3,4</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w:t>
            </w:r>
          </w:p>
          <w:p w14:paraId="4729573F" w14:textId="77777777" w:rsidR="00B41D3D" w:rsidRPr="00E75CB3" w:rsidRDefault="00B41D3D" w:rsidP="00B41D3D">
            <w:pPr>
              <w:spacing w:after="0" w:line="276" w:lineRule="auto"/>
              <w:rPr>
                <w:rFonts w:eastAsiaTheme="minorEastAsia" w:cstheme="minorHAnsi"/>
                <w:sz w:val="20"/>
                <w:szCs w:val="20"/>
                <w:lang w:val="en-US"/>
              </w:rPr>
            </w:pPr>
          </w:p>
        </w:tc>
      </w:tr>
      <w:tr w:rsidR="00B41D3D" w:rsidRPr="00E75CB3" w14:paraId="0B894C4D" w14:textId="77777777" w:rsidTr="00B41D3D">
        <w:tc>
          <w:tcPr>
            <w:tcW w:w="5250" w:type="dxa"/>
            <w:tcBorders>
              <w:top w:val="single" w:sz="4" w:space="0" w:color="auto"/>
              <w:left w:val="single" w:sz="4" w:space="0" w:color="auto"/>
              <w:bottom w:val="single" w:sz="4" w:space="0" w:color="auto"/>
              <w:right w:val="single" w:sz="4" w:space="0" w:color="auto"/>
            </w:tcBorders>
          </w:tcPr>
          <w:p w14:paraId="0C86BDEC"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Chronic hypertension</w:t>
            </w:r>
          </w:p>
          <w:p w14:paraId="2830B950" w14:textId="77777777" w:rsidR="00B41D3D" w:rsidRPr="00E75CB3" w:rsidRDefault="00B41D3D" w:rsidP="00B41D3D">
            <w:pPr>
              <w:spacing w:after="0" w:line="276" w:lineRule="auto"/>
              <w:rPr>
                <w:rFonts w:eastAsiaTheme="minorEastAsia" w:cstheme="minorHAnsi"/>
                <w:sz w:val="20"/>
                <w:szCs w:val="20"/>
                <w:lang w:val="en-US"/>
              </w:rPr>
            </w:pPr>
          </w:p>
        </w:tc>
        <w:tc>
          <w:tcPr>
            <w:tcW w:w="5382" w:type="dxa"/>
            <w:tcBorders>
              <w:top w:val="single" w:sz="4" w:space="0" w:color="auto"/>
              <w:left w:val="single" w:sz="4" w:space="0" w:color="auto"/>
              <w:bottom w:val="single" w:sz="4" w:space="0" w:color="auto"/>
              <w:right w:val="single" w:sz="4" w:space="0" w:color="auto"/>
            </w:tcBorders>
          </w:tcPr>
          <w:p w14:paraId="7041FCD7"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Chronic hypertension was defined as having hypertension that was discovered prior to conception or before 20 weeks of gestation</w:t>
            </w:r>
            <w:r w:rsidRPr="00E75CB3">
              <w:rPr>
                <w:rFonts w:eastAsiaTheme="minorEastAsia" w:cstheme="minorHAnsi"/>
                <w:sz w:val="20"/>
                <w:szCs w:val="20"/>
                <w:lang w:val="en-US"/>
              </w:rPr>
              <w:fldChar w:fldCharType="begin"/>
            </w:r>
            <w:r>
              <w:rPr>
                <w:rFonts w:eastAsiaTheme="minorEastAsia" w:cstheme="minorHAnsi"/>
                <w:sz w:val="20"/>
                <w:szCs w:val="20"/>
                <w:lang w:val="en-US"/>
              </w:rPr>
              <w:instrText xml:space="preserve"> ADDIN ZOTERO_ITEM CSL_CITATION {"citationID":"2nsic1ohav","properties":{"formattedCitation":"{\\rtf \\super 3,4\\nosupersub{}}","plainCitation":"3,4"},"citationItems":[{"id":1282,"uris":["http://zotero.org/users/4547460/items/27ADTGA5"],"uri":["http://zotero.org/users/4547460/items/27ADTGA5"],"itemData":{"id":1282,"type":"article-journal","title":"The Classification and Diagnosis of the Hypertensive Disorders of Pregnancy: Statement from the International Society for the Study of Hypertension in Pregnancy (ISSHP)","container-title":"Hypertension in Pregnancy","page":"ix-xiv","volume":"20","issue":"1","source":"Taylor and Francis+NEJM","DOI":"10.3109/10641950109152635","ISSN":"1064-1955","note":"PMID: 12044323","shortTitle":"The Classification and Diagnosis of the Hypertensive Disorders of Pregnancy","author":[{"family":"Brown","given":"Mark A."},{"family":"Lindheimer","given":"Marshall D."},{"family":"Swiet","given":"Michael","dropping-particle":"de"},{"family":"Assche","given":"Andre Van"},{"family":"Moutquin","given":"Jean-Marie"}],"issued":{"date-parts":[["2001",1,1]]},"PMID":"12044323"}},{"id":1279,"uris":["http://zotero.org/users/4547460/items/ZUNFW245"],"uri":["http://zotero.org/users/4547460/items/ZUNFW245"],"itemData":{"id":1279,"type":"article-journal","title":"Pre-eclampsia","container-title":"Lancet (London, England)","page":"631-644","volume":"376","issue":"9741","source":"PubMed","abstract":"Pre-eclampsia remains a leading cause of maternal and perinatal mortality and morbidity. It is a pregnancy-specific disease characterised by de-novo development of concurrent hypertension and proteinuria, sometimes progressing into a multiorgan cluster of varying clinical features. Poor early placentation is especially associated with early onset disease. Predisposing cardiovascular or metabolic risks for endothelial dysfunction, as part of an exaggerated systemic inflammatory response, might dominate in the origins of late onset pre-eclampsia. Because the multifactorial pathogenesis of different pre-eclampsia phenotypes has not been fully elucidated, prevention and prediction are still not possible, and symptomatic clinical management should be mainly directed to prevent maternal morbidity (eg, eclampsia) and mortality. Expectant management of women with early onset disease to improve perinatal outcome should not preclude timely delivery-the only definitive cure. Pre-eclampsia foretells raised rates of cardiovascular and metabolic disease in later life, which could be reason for subsequent lifestyle education and intervention.","DOI":"10.1016/S0140-6736(10)60279-6","ISSN":"1474-547X","note":"PMID: 20598363","journalAbbreviation":"Lancet","language":"eng","author":[{"family":"Steegers","given":"Eric A. P."},{"family":"Dadelszen","given":"Peter","non-dropping-particle":"von"},{"family":"Duvekot","given":"Johannes J."},{"family":"Pijnenborg","given":"Robert"}],"issued":{"date-parts":[["2010",8,21]]},"PMID":"20598363"}}],"schema":"https://github.com/citation-style-language/schema/raw/master/csl-citation.json"} </w:instrText>
            </w:r>
            <w:r w:rsidRPr="00E75CB3">
              <w:rPr>
                <w:rFonts w:eastAsiaTheme="minorEastAsia" w:cstheme="minorHAnsi"/>
                <w:sz w:val="20"/>
                <w:szCs w:val="20"/>
                <w:lang w:val="en-US"/>
              </w:rPr>
              <w:fldChar w:fldCharType="separate"/>
            </w:r>
            <w:r w:rsidRPr="00E201D6">
              <w:rPr>
                <w:rFonts w:ascii="Calibri" w:hAnsi="Calibri" w:cs="Calibri"/>
                <w:sz w:val="20"/>
                <w:szCs w:val="24"/>
                <w:vertAlign w:val="superscript"/>
              </w:rPr>
              <w:t>3,4</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w:t>
            </w:r>
          </w:p>
          <w:p w14:paraId="2E8DA896" w14:textId="77777777" w:rsidR="00B41D3D" w:rsidRPr="00E75CB3" w:rsidRDefault="00B41D3D" w:rsidP="00B41D3D">
            <w:pPr>
              <w:spacing w:after="0" w:line="276" w:lineRule="auto"/>
              <w:rPr>
                <w:rFonts w:eastAsiaTheme="minorEastAsia" w:cstheme="minorHAnsi"/>
                <w:sz w:val="20"/>
                <w:szCs w:val="20"/>
                <w:lang w:val="en-US"/>
              </w:rPr>
            </w:pPr>
          </w:p>
        </w:tc>
      </w:tr>
      <w:tr w:rsidR="00B41D3D" w:rsidRPr="00E75CB3" w14:paraId="724ADA20" w14:textId="77777777" w:rsidTr="00B41D3D">
        <w:tc>
          <w:tcPr>
            <w:tcW w:w="5250" w:type="dxa"/>
            <w:tcBorders>
              <w:top w:val="single" w:sz="4" w:space="0" w:color="auto"/>
              <w:left w:val="single" w:sz="4" w:space="0" w:color="auto"/>
              <w:bottom w:val="single" w:sz="4" w:space="0" w:color="auto"/>
              <w:right w:val="single" w:sz="4" w:space="0" w:color="auto"/>
            </w:tcBorders>
          </w:tcPr>
          <w:p w14:paraId="2D40D63A"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Perinatal mortality</w:t>
            </w:r>
          </w:p>
        </w:tc>
        <w:tc>
          <w:tcPr>
            <w:tcW w:w="5382" w:type="dxa"/>
            <w:tcBorders>
              <w:top w:val="single" w:sz="4" w:space="0" w:color="auto"/>
              <w:left w:val="single" w:sz="4" w:space="0" w:color="auto"/>
              <w:bottom w:val="single" w:sz="4" w:space="0" w:color="auto"/>
              <w:right w:val="single" w:sz="4" w:space="0" w:color="auto"/>
            </w:tcBorders>
          </w:tcPr>
          <w:p w14:paraId="2B674803" w14:textId="53400EB1"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Still birth was defined as fetal death after 24 weeks in utero</w:t>
            </w:r>
            <w:r w:rsidRPr="00E75CB3">
              <w:rPr>
                <w:rFonts w:eastAsiaTheme="minorEastAsia" w:cstheme="minorHAnsi"/>
                <w:sz w:val="20"/>
                <w:szCs w:val="20"/>
                <w:lang w:val="en-US"/>
              </w:rPr>
              <w:fldChar w:fldCharType="begin"/>
            </w:r>
            <w:r>
              <w:rPr>
                <w:rFonts w:eastAsiaTheme="minorEastAsia" w:cstheme="minorHAnsi"/>
                <w:sz w:val="20"/>
                <w:szCs w:val="20"/>
                <w:lang w:val="en-US"/>
              </w:rPr>
              <w:instrText xml:space="preserve"> ADDIN ZOTERO_ITEM CSL_CITATION {"citationID":"2npkbhlkbg","properties":{"formattedCitation":"{\\rtf \\super 5\\nosupersub{}}","plainCitation":"5"},"citationItems":[{"id":1289,"uris":["http://zotero.org/users/4547460/items/V22942MJ"],"uri":["http://zotero.org/users/4547460/items/V22942MJ"],"itemData":{"id":1289,"type":"article-journal","title":"Terms in reproductive and perinatal epidemiology: I. Reproductive terms","container-title":"Journal of Epidemiology and Community Health","page":"916-919","volume":"59","issue":"11","source":"PubMed Central","abstract":"This is the first of a two part glossary of terms used in reproductive and perinatal epidemiology.","DOI":"10.1136/jech.2004.023457","ISSN":"0143-005X","note":"PMID: 16234416\nPMCID: PMC1732942","shortTitle":"Terms in reproductive and perinatal epidemiology","journalAbbreviation":"J Epidemiol Community Health","author":[{"family":"Nguyen","given":"R."},{"family":"Wilcox","given":"A."}],"issued":{"date-parts":[["2005",11]]},"PMID":"16234416","PMCID":"PMC1732942"}}],"schema":"https://github.com/citation-style-language/schema/raw/master/csl-citation.json"} </w:instrText>
            </w:r>
            <w:r w:rsidRPr="00E75CB3">
              <w:rPr>
                <w:rFonts w:eastAsiaTheme="minorEastAsia" w:cstheme="minorHAnsi"/>
                <w:sz w:val="20"/>
                <w:szCs w:val="20"/>
                <w:lang w:val="en-US"/>
              </w:rPr>
              <w:fldChar w:fldCharType="separate"/>
            </w:r>
            <w:r w:rsidRPr="00E201D6">
              <w:rPr>
                <w:rFonts w:ascii="Calibri" w:hAnsi="Calibri" w:cs="Calibri"/>
                <w:sz w:val="20"/>
                <w:szCs w:val="24"/>
                <w:vertAlign w:val="superscript"/>
              </w:rPr>
              <w:t>5</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 xml:space="preserve">. Neonatal death was defined as a death which occurred before </w:t>
            </w:r>
            <w:r>
              <w:rPr>
                <w:rFonts w:eastAsiaTheme="minorEastAsia" w:cstheme="minorHAnsi"/>
                <w:sz w:val="20"/>
                <w:szCs w:val="20"/>
                <w:lang w:val="en-US"/>
              </w:rPr>
              <w:t xml:space="preserve"> </w:t>
            </w:r>
            <w:r w:rsidR="00640E94">
              <w:rPr>
                <w:rFonts w:eastAsiaTheme="minorEastAsia" w:cstheme="minorHAnsi"/>
                <w:sz w:val="20"/>
                <w:szCs w:val="20"/>
                <w:lang w:val="en-US"/>
              </w:rPr>
              <w:t>the first 28 days</w:t>
            </w:r>
            <w:r w:rsidRPr="00E75CB3">
              <w:rPr>
                <w:rFonts w:eastAsiaTheme="minorEastAsia" w:cstheme="minorHAnsi"/>
                <w:sz w:val="20"/>
                <w:szCs w:val="20"/>
                <w:lang w:val="en-US"/>
              </w:rPr>
              <w:t xml:space="preserve"> of life</w:t>
            </w:r>
            <w:r w:rsidRPr="00E75CB3">
              <w:rPr>
                <w:rFonts w:eastAsiaTheme="minorEastAsia" w:cstheme="minorHAnsi"/>
                <w:sz w:val="20"/>
                <w:szCs w:val="20"/>
                <w:lang w:val="en-US"/>
              </w:rPr>
              <w:fldChar w:fldCharType="begin"/>
            </w:r>
            <w:r w:rsidR="00B37FA3">
              <w:rPr>
                <w:rFonts w:eastAsiaTheme="minorEastAsia" w:cstheme="minorHAnsi"/>
                <w:sz w:val="20"/>
                <w:szCs w:val="20"/>
                <w:lang w:val="en-US"/>
              </w:rPr>
              <w:instrText xml:space="preserve"> ADDIN ZOTERO_ITEM CSL_CITATION {"citationID":"WjeHvTDl","properties":{"formattedCitation":"{\\rtf \\super 6,7\\nosupersub{}}","plainCitation":"6,7"},"citationItems":[{"id":1332,"uris":["http://zotero.org/users/4547460/items/HTIHJQ4J"],"uri":["http://zotero.org/users/4547460/items/HTIHJQ4J"],"itemData":{"id":1332,"type":"article-journal","title":"Terms in reproductive and perinatal epidemiology: 2. Perinatal terms","container-title":"Journal of Epidemiology and Community Health","page":"1019-1021","volume":"59","issue":"12","source":"PubMed Central","abstract":"This is the second of a two part glossary of terms used in reproductive and perinatal epidemiology. The purpose is to provide a reference for terms that are widely (if not always consistently) used in this field. While a glossary cannot resolve all these problems, it provides a point of reference for understanding them. Part 1 covered terms relevant mostly to events and conditions before birth. Part 2 emphasises terms used during the time around and after birth.","DOI":"10.1136/jech.2004.023465","ISSN":"0143-005X","note":"PMID: 16286486\nPMCID: PMC1732966","shortTitle":"Terms in reproductive and perinatal epidemiology","journalAbbreviation":"J Epidemiol Community Health","author":[{"family":"Nguyen","given":"R."},{"family":"Wilcox","given":"A."}],"issued":{"date-parts":[["2005",12]]},"PMID":"16286486","PMCID":"PMC1732966"}},{"id":1364,"uris":["http://zotero.org/users/4547460/items/WZDN6MPJ"],"uri":["http://zotero.org/users/4547460/items/WZDN6MPJ"],"itemData":{"id":1364,"type":"webpage","title":"Standard Terminology for Fetal, Infant, and Perinatal Deaths | From the American Academy of Pediatrics | Pediatrics","URL":"https://pediatrics-aappublications-org.ezproxy.ub.unimaas.nl/content/137/5/e20160551","accessed":{"date-parts":[["2019",7,3]]}}}],"schema":"https://github.com/citation-style-language/schema/raw/master/csl-citation.json"} </w:instrText>
            </w:r>
            <w:r w:rsidRPr="00E75CB3">
              <w:rPr>
                <w:rFonts w:eastAsiaTheme="minorEastAsia" w:cstheme="minorHAnsi"/>
                <w:sz w:val="20"/>
                <w:szCs w:val="20"/>
                <w:lang w:val="en-US"/>
              </w:rPr>
              <w:fldChar w:fldCharType="separate"/>
            </w:r>
            <w:r w:rsidR="00B37FA3" w:rsidRPr="00B37FA3">
              <w:rPr>
                <w:rFonts w:ascii="Calibri" w:hAnsi="Calibri" w:cs="Calibri"/>
                <w:sz w:val="20"/>
                <w:szCs w:val="24"/>
                <w:vertAlign w:val="superscript"/>
              </w:rPr>
              <w:t>6,7</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 xml:space="preserve">. </w:t>
            </w:r>
          </w:p>
          <w:p w14:paraId="344265DF" w14:textId="77777777" w:rsidR="00B41D3D" w:rsidRPr="00E75CB3" w:rsidRDefault="00B41D3D" w:rsidP="00B41D3D">
            <w:pPr>
              <w:spacing w:after="0" w:line="276" w:lineRule="auto"/>
              <w:rPr>
                <w:rFonts w:eastAsiaTheme="minorEastAsia" w:cstheme="minorHAnsi"/>
                <w:sz w:val="20"/>
                <w:szCs w:val="20"/>
                <w:lang w:val="en-US"/>
              </w:rPr>
            </w:pPr>
          </w:p>
        </w:tc>
      </w:tr>
      <w:tr w:rsidR="00B41D3D" w:rsidRPr="00E75CB3" w14:paraId="38186DD6" w14:textId="77777777" w:rsidTr="00B41D3D">
        <w:tc>
          <w:tcPr>
            <w:tcW w:w="5250" w:type="dxa"/>
            <w:tcBorders>
              <w:top w:val="single" w:sz="4" w:space="0" w:color="auto"/>
              <w:left w:val="single" w:sz="4" w:space="0" w:color="auto"/>
              <w:bottom w:val="single" w:sz="4" w:space="0" w:color="auto"/>
              <w:right w:val="single" w:sz="4" w:space="0" w:color="auto"/>
            </w:tcBorders>
            <w:hideMark/>
          </w:tcPr>
          <w:p w14:paraId="3C9EEDB8"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Miscarriage</w:t>
            </w:r>
          </w:p>
        </w:tc>
        <w:tc>
          <w:tcPr>
            <w:tcW w:w="5382" w:type="dxa"/>
            <w:tcBorders>
              <w:top w:val="single" w:sz="4" w:space="0" w:color="auto"/>
              <w:left w:val="single" w:sz="4" w:space="0" w:color="auto"/>
              <w:bottom w:val="single" w:sz="4" w:space="0" w:color="auto"/>
              <w:right w:val="single" w:sz="4" w:space="0" w:color="auto"/>
            </w:tcBorders>
            <w:hideMark/>
          </w:tcPr>
          <w:p w14:paraId="38127B7E" w14:textId="228F7652"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Miscarriage was defined as loss of the fetus, before its capability for independent survival</w:t>
            </w:r>
            <w:r w:rsidR="00DA203A">
              <w:rPr>
                <w:rFonts w:eastAsiaTheme="minorEastAsia" w:cstheme="minorHAnsi"/>
                <w:sz w:val="20"/>
                <w:szCs w:val="20"/>
                <w:lang w:val="en-US"/>
              </w:rPr>
              <w:fldChar w:fldCharType="begin"/>
            </w:r>
            <w:r w:rsidR="00DA203A">
              <w:rPr>
                <w:rFonts w:eastAsiaTheme="minorEastAsia" w:cstheme="minorHAnsi"/>
                <w:sz w:val="20"/>
                <w:szCs w:val="20"/>
                <w:lang w:val="en-US"/>
              </w:rPr>
              <w:instrText xml:space="preserve"> ADDIN ZOTERO_ITEM CSL_CITATION {"citationID":"1ajg022evl","properties":{"formattedCitation":"{\\rtf \\super 6\\nosupersub{}}","plainCitation":"6"},"citationItems":[{"id":1332,"uris":["http://zotero.org/users/4547460/items/HTIHJQ4J"],"uri":["http://zotero.org/users/4547460/items/HTIHJQ4J"],"itemData":{"id":1332,"type":"article-journal","title":"Terms in reproductive and perinatal epidemiology: 2. Perinatal terms","container-title":"Journal of Epidemiology and Community Health","page":"1019-1021","volume":"59","issue":"12","source":"PubMed Central","abstract":"This is the second of a two part glossary of terms used in reproductive and perinatal epidemiology. The purpose is to provide a reference for terms that are widely (if not always consistently) used in this field. While a glossary cannot resolve all these problems, it provides a point of reference for understanding them. Part 1 covered terms relevant mostly to events and conditions before birth. Part 2 emphasises terms used during the time around and after birth.","DOI":"10.1136/jech.2004.023465","ISSN":"0143-005X","note":"PMID: 16286486\nPMCID: PMC1732966","shortTitle":"Terms in reproductive and perinatal epidemiology","journalAbbreviation":"J Epidemiol Community Health","author":[{"family":"Nguyen","given":"R."},{"family":"Wilcox","given":"A."}],"issued":{"date-parts":[["2005",12]]},"PMID":"16286486","PMCID":"PMC1732966"}}],"schema":"https://github.com/citation-style-language/schema/raw/master/csl-citation.json"} </w:instrText>
            </w:r>
            <w:r w:rsidR="00DA203A">
              <w:rPr>
                <w:rFonts w:eastAsiaTheme="minorEastAsia" w:cstheme="minorHAnsi"/>
                <w:sz w:val="20"/>
                <w:szCs w:val="20"/>
                <w:lang w:val="en-US"/>
              </w:rPr>
              <w:fldChar w:fldCharType="separate"/>
            </w:r>
            <w:r w:rsidR="00DA203A" w:rsidRPr="00DA203A">
              <w:rPr>
                <w:rFonts w:ascii="Calibri" w:hAnsi="Calibri" w:cs="Calibri"/>
                <w:sz w:val="20"/>
                <w:szCs w:val="24"/>
                <w:vertAlign w:val="superscript"/>
              </w:rPr>
              <w:t>6</w:t>
            </w:r>
            <w:r w:rsidR="00DA203A">
              <w:rPr>
                <w:rFonts w:eastAsiaTheme="minorEastAsia" w:cstheme="minorHAnsi"/>
                <w:sz w:val="20"/>
                <w:szCs w:val="20"/>
                <w:lang w:val="en-US"/>
              </w:rPr>
              <w:fldChar w:fldCharType="end"/>
            </w:r>
            <w:r w:rsidRPr="00E75CB3">
              <w:rPr>
                <w:rFonts w:eastAsiaTheme="minorEastAsia" w:cstheme="minorHAnsi"/>
                <w:sz w:val="20"/>
                <w:szCs w:val="20"/>
                <w:lang w:val="en-US"/>
              </w:rPr>
              <w:t>.</w:t>
            </w:r>
          </w:p>
        </w:tc>
      </w:tr>
      <w:tr w:rsidR="00B41D3D" w:rsidRPr="00E75CB3" w14:paraId="4B2A7163" w14:textId="77777777" w:rsidTr="00B41D3D">
        <w:tc>
          <w:tcPr>
            <w:tcW w:w="5250" w:type="dxa"/>
            <w:tcBorders>
              <w:top w:val="single" w:sz="4" w:space="0" w:color="auto"/>
              <w:left w:val="single" w:sz="4" w:space="0" w:color="auto"/>
              <w:bottom w:val="single" w:sz="4" w:space="0" w:color="auto"/>
              <w:right w:val="single" w:sz="4" w:space="0" w:color="auto"/>
            </w:tcBorders>
            <w:hideMark/>
          </w:tcPr>
          <w:p w14:paraId="1C3A7526"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Pre-term birth</w:t>
            </w:r>
          </w:p>
        </w:tc>
        <w:tc>
          <w:tcPr>
            <w:tcW w:w="5382" w:type="dxa"/>
            <w:tcBorders>
              <w:top w:val="single" w:sz="4" w:space="0" w:color="auto"/>
              <w:left w:val="single" w:sz="4" w:space="0" w:color="auto"/>
              <w:bottom w:val="single" w:sz="4" w:space="0" w:color="auto"/>
              <w:right w:val="single" w:sz="4" w:space="0" w:color="auto"/>
            </w:tcBorders>
            <w:hideMark/>
          </w:tcPr>
          <w:p w14:paraId="09ACF472"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Preterm birth was defined as children born less than 37 weeks in gestation</w:t>
            </w:r>
            <w:r w:rsidRPr="00E75CB3">
              <w:rPr>
                <w:rFonts w:eastAsiaTheme="minorEastAsia" w:cstheme="minorHAnsi"/>
                <w:sz w:val="20"/>
                <w:szCs w:val="20"/>
                <w:lang w:val="en-US"/>
              </w:rPr>
              <w:fldChar w:fldCharType="begin"/>
            </w:r>
            <w:r>
              <w:rPr>
                <w:rFonts w:eastAsiaTheme="minorEastAsia" w:cstheme="minorHAnsi"/>
                <w:sz w:val="20"/>
                <w:szCs w:val="20"/>
                <w:lang w:val="en-US"/>
              </w:rPr>
              <w:instrText xml:space="preserve"> ADDIN ZOTERO_ITEM CSL_CITATION {"citationID":"kfsr5m80h","properties":{"formattedCitation":"{\\rtf \\super 6\\nosupersub{}}","plainCitation":"6"},"citationItems":[{"id":1332,"uris":["http://zotero.org/users/4547460/items/HTIHJQ4J"],"uri":["http://zotero.org/users/4547460/items/HTIHJQ4J"],"itemData":{"id":1332,"type":"article-journal","title":"Terms in reproductive and perinatal epidemiology: 2. Perinatal terms","container-title":"Journal of Epidemiology and Community Health","page":"1019-1021","volume":"59","issue":"12","source":"PubMed Central","abstract":"This is the second of a two part glossary of terms used in reproductive and perinatal epidemiology. The purpose is to provide a reference for terms that are widely (if not always consistently) used in this field. While a glossary cannot resolve all these problems, it provides a point of reference for understanding them. Part 1 covered terms relevant mostly to events and conditions before birth. Part 2 emphasises terms used during the time around and after birth.","DOI":"10.1136/jech.2004.023465","ISSN":"0143-005X","note":"PMID: 16286486\nPMCID: PMC1732966","shortTitle":"Terms in reproductive and perinatal epidemiology","journalAbbreviation":"J Epidemiol Community Health","author":[{"family":"Nguyen","given":"R."},{"family":"Wilcox","given":"A."}],"issued":{"date-parts":[["2005",12]]},"PMID":"16286486","PMCID":"PMC1732966"}}],"schema":"https://github.com/citation-style-language/schema/raw/master/csl-citation.json"} </w:instrText>
            </w:r>
            <w:r w:rsidRPr="00E75CB3">
              <w:rPr>
                <w:rFonts w:eastAsiaTheme="minorEastAsia" w:cstheme="minorHAnsi"/>
                <w:sz w:val="20"/>
                <w:szCs w:val="20"/>
                <w:lang w:val="en-US"/>
              </w:rPr>
              <w:fldChar w:fldCharType="separate"/>
            </w:r>
            <w:r w:rsidRPr="00E201D6">
              <w:rPr>
                <w:rFonts w:ascii="Calibri" w:hAnsi="Calibri" w:cs="Calibri"/>
                <w:sz w:val="20"/>
                <w:szCs w:val="24"/>
                <w:vertAlign w:val="superscript"/>
              </w:rPr>
              <w:t>6</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w:t>
            </w:r>
          </w:p>
        </w:tc>
      </w:tr>
      <w:tr w:rsidR="00B41D3D" w:rsidRPr="00E75CB3" w14:paraId="7A89E277" w14:textId="77777777" w:rsidTr="00B41D3D">
        <w:trPr>
          <w:trHeight w:val="100"/>
        </w:trPr>
        <w:tc>
          <w:tcPr>
            <w:tcW w:w="5250" w:type="dxa"/>
            <w:tcBorders>
              <w:top w:val="single" w:sz="4" w:space="0" w:color="auto"/>
              <w:left w:val="single" w:sz="4" w:space="0" w:color="auto"/>
              <w:bottom w:val="single" w:sz="4" w:space="0" w:color="auto"/>
              <w:right w:val="single" w:sz="4" w:space="0" w:color="auto"/>
            </w:tcBorders>
          </w:tcPr>
          <w:p w14:paraId="364CB0BE"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Small for gestational age</w:t>
            </w:r>
          </w:p>
          <w:p w14:paraId="37253155" w14:textId="77777777" w:rsidR="00B41D3D" w:rsidRPr="00E75CB3" w:rsidRDefault="00B41D3D" w:rsidP="00B41D3D">
            <w:pPr>
              <w:spacing w:after="0" w:line="276" w:lineRule="auto"/>
              <w:rPr>
                <w:rFonts w:eastAsiaTheme="minorEastAsia" w:cstheme="minorHAnsi"/>
                <w:i/>
                <w:sz w:val="20"/>
                <w:szCs w:val="20"/>
                <w:lang w:val="en-US"/>
              </w:rPr>
            </w:pPr>
          </w:p>
        </w:tc>
        <w:tc>
          <w:tcPr>
            <w:tcW w:w="5382" w:type="dxa"/>
            <w:tcBorders>
              <w:top w:val="single" w:sz="4" w:space="0" w:color="auto"/>
              <w:left w:val="single" w:sz="4" w:space="0" w:color="auto"/>
              <w:bottom w:val="single" w:sz="4" w:space="0" w:color="auto"/>
              <w:right w:val="single" w:sz="4" w:space="0" w:color="auto"/>
            </w:tcBorders>
          </w:tcPr>
          <w:p w14:paraId="28E24839"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Small for Gestational Age was defined as birthweight being two standard deviations below the mean for how long the fetus was in the womb</w:t>
            </w:r>
            <w:r w:rsidRPr="00E75CB3">
              <w:rPr>
                <w:rFonts w:eastAsiaTheme="minorEastAsia" w:cstheme="minorHAnsi"/>
                <w:sz w:val="20"/>
                <w:szCs w:val="20"/>
                <w:lang w:val="en-US"/>
              </w:rPr>
              <w:fldChar w:fldCharType="begin"/>
            </w:r>
            <w:r>
              <w:rPr>
                <w:rFonts w:eastAsiaTheme="minorEastAsia" w:cstheme="minorHAnsi"/>
                <w:sz w:val="20"/>
                <w:szCs w:val="20"/>
                <w:lang w:val="en-US"/>
              </w:rPr>
              <w:instrText xml:space="preserve"> ADDIN ZOTERO_ITEM CSL_CITATION {"citationID":"WHCoHemj","properties":{"formattedCitation":"{\\rtf \\super 6\\nosupersub{}}","plainCitation":"6"},"citationItems":[{"id":1332,"uris":["http://zotero.org/users/4547460/items/HTIHJQ4J"],"uri":["http://zotero.org/users/4547460/items/HTIHJQ4J"],"itemData":{"id":1332,"type":"article-journal","title":"Terms in reproductive and perinatal epidemiology: 2. Perinatal terms","container-title":"Journal of Epidemiology and Community Health","page":"1019-1021","volume":"59","issue":"12","source":"PubMed Central","abstract":"This is the second of a two part glossary of terms used in reproductive and perinatal epidemiology. The purpose is to provide a reference for terms that are widely (if not always consistently) used in this field. While a glossary cannot resolve all these problems, it provides a point of reference for understanding them. Part 1 covered terms relevant mostly to events and conditions before birth. Part 2 emphasises terms used during the time around and after birth.","DOI":"10.1136/jech.2004.023465","ISSN":"0143-005X","note":"PMID: 16286486\nPMCID: PMC1732966","shortTitle":"Terms in reproductive and perinatal epidemiology","journalAbbreviation":"J Epidemiol Community Health","author":[{"family":"Nguyen","given":"R."},{"family":"Wilcox","given":"A."}],"issued":{"date-parts":[["2005",12]]},"PMID":"16286486","PMCID":"PMC1732966"}}],"schema":"https://github.com/citation-style-language/schema/raw/master/csl-citation.json"} </w:instrText>
            </w:r>
            <w:r w:rsidRPr="00E75CB3">
              <w:rPr>
                <w:rFonts w:eastAsiaTheme="minorEastAsia" w:cstheme="minorHAnsi"/>
                <w:sz w:val="20"/>
                <w:szCs w:val="20"/>
                <w:lang w:val="en-US"/>
              </w:rPr>
              <w:fldChar w:fldCharType="separate"/>
            </w:r>
            <w:r w:rsidRPr="00E201D6">
              <w:rPr>
                <w:rFonts w:ascii="Calibri" w:hAnsi="Calibri" w:cs="Calibri"/>
                <w:sz w:val="20"/>
                <w:szCs w:val="24"/>
                <w:vertAlign w:val="superscript"/>
              </w:rPr>
              <w:t>6</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 xml:space="preserve">. </w:t>
            </w:r>
          </w:p>
          <w:p w14:paraId="0BF96AFB" w14:textId="77777777" w:rsidR="00B41D3D" w:rsidRPr="00E75CB3" w:rsidRDefault="00B41D3D" w:rsidP="00B41D3D">
            <w:pPr>
              <w:spacing w:after="0" w:line="276" w:lineRule="auto"/>
              <w:rPr>
                <w:rFonts w:eastAsiaTheme="minorEastAsia" w:cstheme="minorHAnsi"/>
                <w:i/>
                <w:sz w:val="20"/>
                <w:szCs w:val="20"/>
                <w:lang w:val="en-US"/>
              </w:rPr>
            </w:pPr>
          </w:p>
        </w:tc>
      </w:tr>
      <w:tr w:rsidR="00B41D3D" w:rsidRPr="00E75CB3" w14:paraId="4D1B8CEC" w14:textId="77777777" w:rsidTr="00B41D3D">
        <w:trPr>
          <w:trHeight w:val="100"/>
        </w:trPr>
        <w:tc>
          <w:tcPr>
            <w:tcW w:w="5250" w:type="dxa"/>
            <w:tcBorders>
              <w:top w:val="single" w:sz="4" w:space="0" w:color="auto"/>
              <w:left w:val="single" w:sz="4" w:space="0" w:color="auto"/>
              <w:bottom w:val="single" w:sz="4" w:space="0" w:color="auto"/>
              <w:right w:val="single" w:sz="4" w:space="0" w:color="auto"/>
            </w:tcBorders>
          </w:tcPr>
          <w:p w14:paraId="16C1F3C8"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Birthweight</w:t>
            </w:r>
          </w:p>
          <w:p w14:paraId="29B1FF92" w14:textId="77777777" w:rsidR="00B41D3D" w:rsidRPr="00E75CB3" w:rsidRDefault="00B41D3D" w:rsidP="00B41D3D">
            <w:pPr>
              <w:spacing w:after="0" w:line="276" w:lineRule="auto"/>
              <w:rPr>
                <w:rFonts w:eastAsiaTheme="minorEastAsia" w:cstheme="minorHAnsi"/>
                <w:i/>
                <w:sz w:val="20"/>
                <w:szCs w:val="20"/>
                <w:lang w:val="en-US"/>
              </w:rPr>
            </w:pPr>
          </w:p>
        </w:tc>
        <w:tc>
          <w:tcPr>
            <w:tcW w:w="5382" w:type="dxa"/>
            <w:tcBorders>
              <w:top w:val="single" w:sz="4" w:space="0" w:color="auto"/>
              <w:left w:val="single" w:sz="4" w:space="0" w:color="auto"/>
              <w:bottom w:val="single" w:sz="4" w:space="0" w:color="auto"/>
              <w:right w:val="single" w:sz="4" w:space="0" w:color="auto"/>
            </w:tcBorders>
          </w:tcPr>
          <w:p w14:paraId="2CA65B8F"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Birthweight was analyzed as both a categorical and continuous outcome. Birthweight was either measured as &lt;2500 grams as low birthweight/normal birthweight, or continuously as its number in grams</w:t>
            </w:r>
            <w:r w:rsidRPr="00E75CB3">
              <w:rPr>
                <w:rFonts w:eastAsiaTheme="minorEastAsia" w:cstheme="minorHAnsi"/>
                <w:sz w:val="20"/>
                <w:szCs w:val="20"/>
                <w:lang w:val="en-US"/>
              </w:rPr>
              <w:fldChar w:fldCharType="begin"/>
            </w:r>
            <w:r>
              <w:rPr>
                <w:rFonts w:eastAsiaTheme="minorEastAsia" w:cstheme="minorHAnsi"/>
                <w:sz w:val="20"/>
                <w:szCs w:val="20"/>
                <w:lang w:val="en-US"/>
              </w:rPr>
              <w:instrText xml:space="preserve"> ADDIN ZOTERO_ITEM CSL_CITATION {"citationID":"1c67tn3ti5","properties":{"formattedCitation":"{\\rtf \\super 6\\nosupersub{}}","plainCitation":"6"},"citationItems":[{"id":1332,"uris":["http://zotero.org/users/4547460/items/HTIHJQ4J"],"uri":["http://zotero.org/users/4547460/items/HTIHJQ4J"],"itemData":{"id":1332,"type":"article-journal","title":"Terms in reproductive and perinatal epidemiology: 2. Perinatal terms","container-title":"Journal of Epidemiology and Community Health","page":"1019-1021","volume":"59","issue":"12","source":"PubMed Central","abstract":"This is the second of a two part glossary of terms used in reproductive and perinatal epidemiology. The purpose is to provide a reference for terms that are widely (if not always consistently) used in this field. While a glossary cannot resolve all these problems, it provides a point of reference for understanding them. Part 1 covered terms relevant mostly to events and conditions before birth. Part 2 emphasises terms used during the time around and after birth.","DOI":"10.1136/jech.2004.023465","ISSN":"0143-005X","note":"PMID: 16286486\nPMCID: PMC1732966","shortTitle":"Terms in reproductive and perinatal epidemiology","journalAbbreviation":"J Epidemiol Community Health","author":[{"family":"Nguyen","given":"R."},{"family":"Wilcox","given":"A."}],"issued":{"date-parts":[["2005",12]]},"PMID":"16286486","PMCID":"PMC1732966"}}],"schema":"https://github.com/citation-style-language/schema/raw/master/csl-citation.json"} </w:instrText>
            </w:r>
            <w:r w:rsidRPr="00E75CB3">
              <w:rPr>
                <w:rFonts w:eastAsiaTheme="minorEastAsia" w:cstheme="minorHAnsi"/>
                <w:sz w:val="20"/>
                <w:szCs w:val="20"/>
                <w:lang w:val="en-US"/>
              </w:rPr>
              <w:fldChar w:fldCharType="separate"/>
            </w:r>
            <w:r w:rsidRPr="00E201D6">
              <w:rPr>
                <w:rFonts w:ascii="Calibri" w:hAnsi="Calibri" w:cs="Calibri"/>
                <w:sz w:val="20"/>
                <w:szCs w:val="24"/>
                <w:vertAlign w:val="superscript"/>
              </w:rPr>
              <w:t>6</w:t>
            </w:r>
            <w:r w:rsidRPr="00E75CB3">
              <w:rPr>
                <w:rFonts w:eastAsiaTheme="minorEastAsia" w:cstheme="minorHAnsi"/>
                <w:sz w:val="20"/>
                <w:szCs w:val="20"/>
                <w:lang w:val="en-US"/>
              </w:rPr>
              <w:fldChar w:fldCharType="end"/>
            </w:r>
            <w:r w:rsidRPr="00E75CB3">
              <w:rPr>
                <w:rFonts w:eastAsiaTheme="minorEastAsia" w:cstheme="minorHAnsi"/>
                <w:sz w:val="20"/>
                <w:szCs w:val="20"/>
                <w:lang w:val="en-US"/>
              </w:rPr>
              <w:t xml:space="preserve">. </w:t>
            </w:r>
          </w:p>
          <w:p w14:paraId="0513366C" w14:textId="77777777" w:rsidR="00B41D3D" w:rsidRPr="00E75CB3" w:rsidRDefault="00B41D3D" w:rsidP="00B41D3D">
            <w:pPr>
              <w:spacing w:after="0" w:line="276" w:lineRule="auto"/>
              <w:rPr>
                <w:rFonts w:eastAsiaTheme="minorEastAsia" w:cstheme="minorHAnsi"/>
                <w:i/>
                <w:sz w:val="20"/>
                <w:szCs w:val="20"/>
                <w:lang w:val="en-US"/>
              </w:rPr>
            </w:pPr>
          </w:p>
        </w:tc>
      </w:tr>
      <w:tr w:rsidR="00B41D3D" w:rsidRPr="00E75CB3" w14:paraId="5EBABE81" w14:textId="77777777" w:rsidTr="00B41D3D">
        <w:trPr>
          <w:trHeight w:val="100"/>
        </w:trPr>
        <w:tc>
          <w:tcPr>
            <w:tcW w:w="5250" w:type="dxa"/>
            <w:tcBorders>
              <w:top w:val="single" w:sz="4" w:space="0" w:color="auto"/>
              <w:left w:val="single" w:sz="4" w:space="0" w:color="auto"/>
              <w:bottom w:val="single" w:sz="4" w:space="0" w:color="auto"/>
              <w:right w:val="single" w:sz="4" w:space="0" w:color="auto"/>
            </w:tcBorders>
          </w:tcPr>
          <w:p w14:paraId="34FA22B6" w14:textId="77777777" w:rsidR="00B41D3D" w:rsidRPr="00E75CB3" w:rsidRDefault="00B41D3D" w:rsidP="00B41D3D">
            <w:pPr>
              <w:spacing w:after="0" w:line="276" w:lineRule="auto"/>
              <w:rPr>
                <w:rFonts w:eastAsiaTheme="minorEastAsia" w:cstheme="minorHAnsi"/>
                <w:sz w:val="20"/>
                <w:szCs w:val="20"/>
                <w:lang w:val="en-US"/>
              </w:rPr>
            </w:pPr>
            <w:r w:rsidRPr="00E75CB3">
              <w:rPr>
                <w:rFonts w:eastAsiaTheme="minorEastAsia" w:cstheme="minorHAnsi"/>
                <w:sz w:val="20"/>
                <w:szCs w:val="20"/>
                <w:lang w:val="en-US"/>
              </w:rPr>
              <w:t>Apgar Score</w:t>
            </w:r>
          </w:p>
          <w:p w14:paraId="7B1265F2" w14:textId="77777777" w:rsidR="00B41D3D" w:rsidRPr="00E75CB3" w:rsidRDefault="00B41D3D" w:rsidP="00B41D3D">
            <w:pPr>
              <w:spacing w:after="0" w:line="276" w:lineRule="auto"/>
              <w:rPr>
                <w:rFonts w:eastAsiaTheme="minorEastAsia" w:cstheme="minorHAnsi"/>
                <w:i/>
                <w:sz w:val="20"/>
                <w:szCs w:val="20"/>
                <w:lang w:val="en-US"/>
              </w:rPr>
            </w:pPr>
          </w:p>
        </w:tc>
        <w:tc>
          <w:tcPr>
            <w:tcW w:w="5382" w:type="dxa"/>
            <w:tcBorders>
              <w:top w:val="single" w:sz="4" w:space="0" w:color="auto"/>
              <w:left w:val="single" w:sz="4" w:space="0" w:color="auto"/>
              <w:bottom w:val="single" w:sz="4" w:space="0" w:color="auto"/>
              <w:right w:val="single" w:sz="4" w:space="0" w:color="auto"/>
            </w:tcBorders>
          </w:tcPr>
          <w:p w14:paraId="0BDE0036" w14:textId="77777777" w:rsidR="00B41D3D" w:rsidRPr="00E75CB3" w:rsidRDefault="00B41D3D" w:rsidP="00B41D3D">
            <w:pPr>
              <w:spacing w:after="0" w:line="276" w:lineRule="auto"/>
              <w:rPr>
                <w:rFonts w:eastAsiaTheme="minorEastAsia" w:cstheme="minorHAnsi"/>
                <w:i/>
                <w:sz w:val="20"/>
                <w:szCs w:val="20"/>
                <w:lang w:val="en-US"/>
              </w:rPr>
            </w:pPr>
            <w:r w:rsidRPr="00E75CB3">
              <w:rPr>
                <w:rFonts w:eastAsiaTheme="minorEastAsia" w:cstheme="minorHAnsi"/>
                <w:sz w:val="20"/>
                <w:szCs w:val="20"/>
              </w:rPr>
              <w:t>An Apgar score greater than 7 was considered a normal score, while less than 7 was considered an adverse score</w:t>
            </w:r>
            <w:r w:rsidRPr="00E75CB3">
              <w:rPr>
                <w:rFonts w:eastAsiaTheme="minorEastAsia" w:cstheme="minorHAnsi"/>
                <w:sz w:val="20"/>
                <w:szCs w:val="20"/>
              </w:rPr>
              <w:fldChar w:fldCharType="begin"/>
            </w:r>
            <w:r>
              <w:rPr>
                <w:rFonts w:eastAsiaTheme="minorEastAsia" w:cstheme="minorHAnsi"/>
                <w:sz w:val="20"/>
                <w:szCs w:val="20"/>
              </w:rPr>
              <w:instrText xml:space="preserve"> ADDIN ZOTERO_ITEM CSL_CITATION {"citationID":"8qi6veug9","properties":{"formattedCitation":"{\\rtf \\super 6\\nosupersub{}}","plainCitation":"6"},"citationItems":[{"id":1332,"uris":["http://zotero.org/users/4547460/items/HTIHJQ4J"],"uri":["http://zotero.org/users/4547460/items/HTIHJQ4J"],"itemData":{"id":1332,"type":"article-journal","title":"Terms in reproductive and perinatal epidemiology: 2. Perinatal terms","container-title":"Journal of Epidemiology and Community Health","page":"1019-1021","volume":"59","issue":"12","source":"PubMed Central","abstract":"This is the second of a two part glossary of terms used in reproductive and perinatal epidemiology. The purpose is to provide a reference for terms that are widely (if not always consistently) used in this field. While a glossary cannot resolve all these problems, it provides a point of reference for understanding them. Part 1 covered terms relevant mostly to events and conditions before birth. Part 2 emphasises terms used during the time around and after birth.","DOI":"10.1136/jech.2004.023465","ISSN":"0143-005X","note":"PMID: 16286486\nPMCID: PMC1732966","shortTitle":"Terms in reproductive and perinatal epidemiology","journalAbbreviation":"J Epidemiol Community Health","author":[{"family":"Nguyen","given":"R."},{"family":"Wilcox","given":"A."}],"issued":{"date-parts":[["2005",12]]},"PMID":"16286486","PMCID":"PMC1732966"}}],"schema":"https://github.com/citation-style-language/schema/raw/master/csl-citation.json"} </w:instrText>
            </w:r>
            <w:r w:rsidRPr="00E75CB3">
              <w:rPr>
                <w:rFonts w:eastAsiaTheme="minorEastAsia" w:cstheme="minorHAnsi"/>
                <w:sz w:val="20"/>
                <w:szCs w:val="20"/>
              </w:rPr>
              <w:fldChar w:fldCharType="separate"/>
            </w:r>
            <w:r w:rsidRPr="00E201D6">
              <w:rPr>
                <w:rFonts w:ascii="Calibri" w:hAnsi="Calibri" w:cs="Calibri"/>
                <w:sz w:val="20"/>
                <w:szCs w:val="24"/>
                <w:vertAlign w:val="superscript"/>
              </w:rPr>
              <w:t>6</w:t>
            </w:r>
            <w:r w:rsidRPr="00E75CB3">
              <w:rPr>
                <w:rFonts w:eastAsiaTheme="minorEastAsia" w:cstheme="minorHAnsi"/>
                <w:sz w:val="20"/>
                <w:szCs w:val="20"/>
              </w:rPr>
              <w:fldChar w:fldCharType="end"/>
            </w:r>
            <w:r w:rsidRPr="00E75CB3">
              <w:rPr>
                <w:rFonts w:eastAsiaTheme="minorEastAsia" w:cstheme="minorHAnsi"/>
                <w:sz w:val="20"/>
                <w:szCs w:val="20"/>
              </w:rPr>
              <w:t xml:space="preserve">. </w:t>
            </w:r>
          </w:p>
        </w:tc>
      </w:tr>
    </w:tbl>
    <w:p w14:paraId="3D2B3F1E" w14:textId="77777777" w:rsidR="00B41D3D" w:rsidRPr="00E75CB3" w:rsidRDefault="00B41D3D" w:rsidP="00B41D3D">
      <w:pPr>
        <w:spacing w:line="276" w:lineRule="auto"/>
        <w:rPr>
          <w:rFonts w:eastAsiaTheme="minorEastAsia" w:cstheme="minorHAnsi"/>
          <w:i/>
          <w:szCs w:val="24"/>
          <w:lang w:val="en-US"/>
        </w:rPr>
      </w:pPr>
    </w:p>
    <w:p w14:paraId="3F213D16" w14:textId="77777777" w:rsidR="00B41D3D" w:rsidRPr="00E75CB3" w:rsidRDefault="00B41D3D" w:rsidP="00B41D3D">
      <w:pPr>
        <w:keepNext/>
        <w:keepLines/>
        <w:spacing w:before="400" w:after="40" w:line="240" w:lineRule="auto"/>
        <w:outlineLvl w:val="0"/>
        <w:rPr>
          <w:rFonts w:eastAsiaTheme="majorEastAsia" w:cstheme="majorBidi"/>
          <w:b/>
          <w:caps/>
          <w:szCs w:val="36"/>
        </w:rPr>
      </w:pPr>
      <w:r w:rsidRPr="00E75CB3">
        <w:rPr>
          <w:rFonts w:eastAsiaTheme="majorEastAsia" w:cstheme="majorBidi"/>
          <w:b/>
          <w:caps/>
          <w:szCs w:val="36"/>
        </w:rPr>
        <w:lastRenderedPageBreak/>
        <w:t>Figure S.1 Flowchart of those included from original cohort</w:t>
      </w:r>
    </w:p>
    <w:p w14:paraId="79315100" w14:textId="77777777" w:rsidR="00B41D3D" w:rsidRPr="00E75CB3" w:rsidRDefault="00B41D3D" w:rsidP="00B41D3D">
      <w:pPr>
        <w:spacing w:line="276" w:lineRule="auto"/>
        <w:rPr>
          <w:rFonts w:eastAsiaTheme="minorEastAsia" w:cstheme="minorHAnsi"/>
          <w:i/>
          <w:szCs w:val="24"/>
          <w:lang w:val="en-US"/>
        </w:rPr>
      </w:pPr>
    </w:p>
    <w:p w14:paraId="73FD6F4C" w14:textId="77777777" w:rsidR="00B41D3D" w:rsidRDefault="00B41D3D" w:rsidP="00B41D3D">
      <w:pPr>
        <w:spacing w:line="276" w:lineRule="auto"/>
        <w:rPr>
          <w:rFonts w:eastAsiaTheme="minorEastAsia" w:cstheme="minorHAnsi"/>
          <w:i/>
          <w:szCs w:val="24"/>
          <w:lang w:val="en-US"/>
        </w:rPr>
      </w:pPr>
      <w:r w:rsidRPr="00E75CB3">
        <w:rPr>
          <w:rFonts w:eastAsiaTheme="minorEastAsia"/>
          <w:noProof/>
          <w:lang w:val="en-US"/>
        </w:rPr>
        <w:drawing>
          <wp:inline distT="0" distB="0" distL="0" distR="0" wp14:anchorId="595005CD" wp14:editId="6DFB7A63">
            <wp:extent cx="6298989" cy="360817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306182" cy="3612294"/>
                    </a:xfrm>
                    <a:prstGeom prst="rect">
                      <a:avLst/>
                    </a:prstGeom>
                  </pic:spPr>
                </pic:pic>
              </a:graphicData>
            </a:graphic>
          </wp:inline>
        </w:drawing>
      </w:r>
    </w:p>
    <w:p w14:paraId="5CA3B204" w14:textId="77777777" w:rsidR="00B41D3D" w:rsidRPr="00E75CB3" w:rsidRDefault="00B41D3D" w:rsidP="00B41D3D">
      <w:pPr>
        <w:spacing w:after="0" w:line="240" w:lineRule="auto"/>
        <w:rPr>
          <w:rFonts w:eastAsiaTheme="minorEastAsia" w:cstheme="minorHAnsi"/>
          <w:i/>
          <w:szCs w:val="24"/>
          <w:lang w:val="en-US"/>
        </w:rPr>
      </w:pPr>
      <w:r>
        <w:rPr>
          <w:rFonts w:eastAsiaTheme="minorEastAsia" w:cstheme="minorHAnsi"/>
          <w:i/>
          <w:szCs w:val="24"/>
          <w:lang w:val="en-US"/>
        </w:rPr>
        <w:br w:type="page"/>
      </w:r>
      <w:r w:rsidRPr="00E75CB3">
        <w:rPr>
          <w:rFonts w:eastAsiaTheme="majorEastAsia" w:cstheme="majorBidi"/>
          <w:b/>
          <w:caps/>
          <w:szCs w:val="36"/>
        </w:rPr>
        <w:lastRenderedPageBreak/>
        <w:t>Table S.3 Original Cohort Descriptive Data of including those lost to follow up (N=185)</w:t>
      </w:r>
    </w:p>
    <w:tbl>
      <w:tblPr>
        <w:tblpPr w:leftFromText="180" w:rightFromText="180" w:vertAnchor="text" w:horzAnchor="page" w:tblpX="409" w:tblpY="161"/>
        <w:tblW w:w="11838" w:type="dxa"/>
        <w:tblLook w:val="04A0" w:firstRow="1" w:lastRow="0" w:firstColumn="1" w:lastColumn="0" w:noHBand="0" w:noVBand="1"/>
      </w:tblPr>
      <w:tblGrid>
        <w:gridCol w:w="4472"/>
        <w:gridCol w:w="2011"/>
        <w:gridCol w:w="1546"/>
        <w:gridCol w:w="1545"/>
        <w:gridCol w:w="2264"/>
      </w:tblGrid>
      <w:tr w:rsidR="00B41D3D" w:rsidRPr="00E75CB3" w14:paraId="599D10EC" w14:textId="77777777" w:rsidTr="00B41D3D">
        <w:trPr>
          <w:trHeight w:val="289"/>
        </w:trPr>
        <w:tc>
          <w:tcPr>
            <w:tcW w:w="4472" w:type="dxa"/>
            <w:tcBorders>
              <w:top w:val="single" w:sz="4" w:space="0" w:color="auto"/>
              <w:left w:val="nil"/>
              <w:bottom w:val="nil"/>
              <w:right w:val="nil"/>
            </w:tcBorders>
            <w:noWrap/>
            <w:vAlign w:val="bottom"/>
            <w:hideMark/>
          </w:tcPr>
          <w:p w14:paraId="0EF12397" w14:textId="77777777" w:rsidR="00B41D3D" w:rsidRPr="00E75CB3" w:rsidRDefault="00B41D3D" w:rsidP="00B41D3D">
            <w:pPr>
              <w:spacing w:line="276" w:lineRule="auto"/>
              <w:rPr>
                <w:rFonts w:eastAsiaTheme="minorEastAsia"/>
                <w:b/>
                <w:sz w:val="20"/>
                <w:szCs w:val="20"/>
              </w:rPr>
            </w:pPr>
          </w:p>
        </w:tc>
        <w:tc>
          <w:tcPr>
            <w:tcW w:w="2011" w:type="dxa"/>
            <w:tcBorders>
              <w:top w:val="single" w:sz="4" w:space="0" w:color="auto"/>
              <w:left w:val="nil"/>
              <w:bottom w:val="nil"/>
              <w:right w:val="nil"/>
            </w:tcBorders>
            <w:noWrap/>
            <w:vAlign w:val="bottom"/>
            <w:hideMark/>
          </w:tcPr>
          <w:p w14:paraId="53EF0D0E" w14:textId="77777777" w:rsidR="00B41D3D" w:rsidRPr="00E75CB3" w:rsidRDefault="00B41D3D" w:rsidP="00B41D3D">
            <w:pPr>
              <w:spacing w:line="276" w:lineRule="auto"/>
              <w:rPr>
                <w:rFonts w:eastAsiaTheme="minorEastAsia"/>
                <w:sz w:val="20"/>
                <w:szCs w:val="20"/>
                <w:lang w:eastAsia="en-CA"/>
              </w:rPr>
            </w:pPr>
          </w:p>
        </w:tc>
        <w:tc>
          <w:tcPr>
            <w:tcW w:w="1546" w:type="dxa"/>
            <w:tcBorders>
              <w:top w:val="single" w:sz="4" w:space="0" w:color="auto"/>
              <w:left w:val="nil"/>
              <w:bottom w:val="nil"/>
              <w:right w:val="nil"/>
            </w:tcBorders>
            <w:noWrap/>
            <w:vAlign w:val="bottom"/>
            <w:hideMark/>
          </w:tcPr>
          <w:p w14:paraId="14D4AA94" w14:textId="77777777" w:rsidR="00B41D3D" w:rsidRPr="00E75CB3" w:rsidRDefault="00B41D3D" w:rsidP="00B41D3D">
            <w:pPr>
              <w:spacing w:line="276" w:lineRule="auto"/>
              <w:rPr>
                <w:rFonts w:eastAsiaTheme="minorEastAsia"/>
                <w:sz w:val="20"/>
                <w:szCs w:val="20"/>
                <w:lang w:eastAsia="en-CA"/>
              </w:rPr>
            </w:pPr>
          </w:p>
        </w:tc>
        <w:tc>
          <w:tcPr>
            <w:tcW w:w="3807" w:type="dxa"/>
            <w:gridSpan w:val="2"/>
            <w:tcBorders>
              <w:top w:val="single" w:sz="4" w:space="0" w:color="auto"/>
              <w:left w:val="nil"/>
              <w:bottom w:val="nil"/>
              <w:right w:val="nil"/>
            </w:tcBorders>
            <w:noWrap/>
            <w:vAlign w:val="bottom"/>
            <w:hideMark/>
          </w:tcPr>
          <w:p w14:paraId="3DA0B719" w14:textId="77777777" w:rsidR="00B41D3D" w:rsidRPr="00E75CB3" w:rsidRDefault="00B41D3D" w:rsidP="00B41D3D">
            <w:pPr>
              <w:spacing w:after="0" w:line="276" w:lineRule="auto"/>
              <w:rPr>
                <w:rFonts w:eastAsia="Times New Roman" w:cstheme="minorHAnsi"/>
                <w:b/>
                <w:bCs/>
                <w:color w:val="000000"/>
                <w:sz w:val="20"/>
                <w:szCs w:val="20"/>
                <w:lang w:eastAsia="en-CA"/>
              </w:rPr>
            </w:pPr>
            <w:r>
              <w:rPr>
                <w:rFonts w:eastAsia="Times New Roman" w:cstheme="minorHAnsi"/>
                <w:b/>
                <w:bCs/>
                <w:color w:val="000000"/>
                <w:sz w:val="20"/>
                <w:szCs w:val="20"/>
                <w:lang w:eastAsia="en-CA"/>
              </w:rPr>
              <w:t>Cooking Fuel</w:t>
            </w:r>
            <w:r w:rsidRPr="00E75CB3">
              <w:rPr>
                <w:rFonts w:eastAsia="Times New Roman" w:cstheme="minorHAnsi"/>
                <w:b/>
                <w:bCs/>
                <w:color w:val="000000"/>
                <w:sz w:val="20"/>
                <w:szCs w:val="20"/>
                <w:lang w:eastAsia="en-CA"/>
              </w:rPr>
              <w:t xml:space="preserve"> Use Status</w:t>
            </w:r>
          </w:p>
        </w:tc>
      </w:tr>
      <w:tr w:rsidR="00B41D3D" w:rsidRPr="00E75CB3" w14:paraId="3B267636" w14:textId="77777777" w:rsidTr="00B41D3D">
        <w:trPr>
          <w:trHeight w:val="266"/>
        </w:trPr>
        <w:tc>
          <w:tcPr>
            <w:tcW w:w="4472" w:type="dxa"/>
            <w:noWrap/>
            <w:vAlign w:val="bottom"/>
            <w:hideMark/>
          </w:tcPr>
          <w:p w14:paraId="799F1B93"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Characteristic</w:t>
            </w:r>
          </w:p>
        </w:tc>
        <w:tc>
          <w:tcPr>
            <w:tcW w:w="2011" w:type="dxa"/>
            <w:noWrap/>
            <w:vAlign w:val="bottom"/>
            <w:hideMark/>
          </w:tcPr>
          <w:p w14:paraId="67F1E18B" w14:textId="77777777" w:rsidR="00B41D3D" w:rsidRPr="00E75CB3" w:rsidRDefault="00B41D3D" w:rsidP="00B41D3D">
            <w:pPr>
              <w:spacing w:line="276" w:lineRule="auto"/>
              <w:rPr>
                <w:rFonts w:eastAsia="Times New Roman" w:cstheme="minorHAnsi"/>
                <w:b/>
                <w:bCs/>
                <w:color w:val="000000"/>
                <w:sz w:val="20"/>
                <w:szCs w:val="20"/>
                <w:lang w:eastAsia="en-CA"/>
              </w:rPr>
            </w:pPr>
          </w:p>
        </w:tc>
        <w:tc>
          <w:tcPr>
            <w:tcW w:w="1546" w:type="dxa"/>
            <w:tcBorders>
              <w:top w:val="nil"/>
              <w:left w:val="nil"/>
              <w:bottom w:val="single" w:sz="4" w:space="0" w:color="auto"/>
              <w:right w:val="nil"/>
            </w:tcBorders>
            <w:noWrap/>
            <w:vAlign w:val="bottom"/>
            <w:hideMark/>
          </w:tcPr>
          <w:p w14:paraId="4566772C" w14:textId="5B7691A6" w:rsidR="00B41D3D" w:rsidRPr="00E75CB3" w:rsidRDefault="00B41D3D" w:rsidP="00B41D3D">
            <w:pPr>
              <w:spacing w:after="0" w:line="276" w:lineRule="auto"/>
              <w:rPr>
                <w:rFonts w:eastAsia="Times New Roman" w:cstheme="minorHAnsi"/>
                <w:b/>
                <w:bCs/>
                <w:color w:val="000000"/>
                <w:sz w:val="20"/>
                <w:szCs w:val="20"/>
                <w:lang w:eastAsia="en-CA"/>
              </w:rPr>
            </w:pPr>
            <w:r>
              <w:rPr>
                <w:rFonts w:eastAsia="Times New Roman" w:cstheme="minorHAnsi"/>
                <w:b/>
                <w:bCs/>
                <w:color w:val="000000"/>
                <w:sz w:val="20"/>
                <w:szCs w:val="20"/>
                <w:lang w:eastAsia="en-CA"/>
              </w:rPr>
              <w:t>Polluting</w:t>
            </w:r>
            <w:r w:rsidRPr="00E75CB3">
              <w:rPr>
                <w:rFonts w:eastAsia="Times New Roman" w:cstheme="minorHAnsi"/>
                <w:b/>
                <w:bCs/>
                <w:color w:val="000000"/>
                <w:sz w:val="20"/>
                <w:szCs w:val="20"/>
                <w:lang w:eastAsia="en-CA"/>
              </w:rPr>
              <w:t xml:space="preserve"> (n=</w:t>
            </w:r>
            <w:r w:rsidR="008D07A8">
              <w:rPr>
                <w:rFonts w:eastAsia="Times New Roman" w:cstheme="minorHAnsi"/>
                <w:b/>
                <w:bCs/>
                <w:color w:val="000000"/>
                <w:sz w:val="20"/>
                <w:szCs w:val="20"/>
                <w:lang w:eastAsia="en-CA"/>
              </w:rPr>
              <w:t>84)</w:t>
            </w:r>
          </w:p>
        </w:tc>
        <w:tc>
          <w:tcPr>
            <w:tcW w:w="1545" w:type="dxa"/>
            <w:tcBorders>
              <w:top w:val="nil"/>
              <w:left w:val="nil"/>
              <w:bottom w:val="single" w:sz="4" w:space="0" w:color="auto"/>
              <w:right w:val="nil"/>
            </w:tcBorders>
            <w:noWrap/>
            <w:vAlign w:val="bottom"/>
            <w:hideMark/>
          </w:tcPr>
          <w:p w14:paraId="06F6BF7C" w14:textId="77777777" w:rsidR="00B41D3D" w:rsidRPr="00E75CB3" w:rsidRDefault="00B41D3D" w:rsidP="00B41D3D">
            <w:pPr>
              <w:spacing w:after="0" w:line="276" w:lineRule="auto"/>
              <w:rPr>
                <w:rFonts w:eastAsia="Times New Roman" w:cstheme="minorHAnsi"/>
                <w:b/>
                <w:bCs/>
                <w:color w:val="000000"/>
                <w:sz w:val="20"/>
                <w:szCs w:val="20"/>
                <w:lang w:eastAsia="en-CA"/>
              </w:rPr>
            </w:pPr>
            <w:r>
              <w:rPr>
                <w:rFonts w:eastAsia="Times New Roman" w:cstheme="minorHAnsi"/>
                <w:b/>
                <w:bCs/>
                <w:color w:val="000000"/>
                <w:sz w:val="20"/>
                <w:szCs w:val="20"/>
                <w:lang w:eastAsia="en-CA"/>
              </w:rPr>
              <w:t>Clean</w:t>
            </w:r>
          </w:p>
          <w:p w14:paraId="431CAC1F" w14:textId="532D6908"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(n=</w:t>
            </w:r>
            <w:r w:rsidR="008D07A8">
              <w:rPr>
                <w:rFonts w:eastAsia="Times New Roman" w:cstheme="minorHAnsi"/>
                <w:b/>
                <w:bCs/>
                <w:color w:val="000000"/>
                <w:sz w:val="20"/>
                <w:szCs w:val="20"/>
                <w:lang w:eastAsia="en-CA"/>
              </w:rPr>
              <w:t>101</w:t>
            </w:r>
            <w:r>
              <w:rPr>
                <w:rFonts w:eastAsia="Times New Roman" w:cstheme="minorHAnsi"/>
                <w:b/>
                <w:bCs/>
                <w:color w:val="000000"/>
                <w:sz w:val="20"/>
                <w:szCs w:val="20"/>
                <w:lang w:eastAsia="en-CA"/>
              </w:rPr>
              <w:t>)</w:t>
            </w:r>
          </w:p>
        </w:tc>
        <w:tc>
          <w:tcPr>
            <w:tcW w:w="2261" w:type="dxa"/>
            <w:noWrap/>
            <w:vAlign w:val="bottom"/>
            <w:hideMark/>
          </w:tcPr>
          <w:p w14:paraId="3E040451" w14:textId="77777777" w:rsidR="00B41D3D" w:rsidRPr="00E75CB3" w:rsidRDefault="00B41D3D" w:rsidP="00B41D3D">
            <w:pPr>
              <w:spacing w:line="276" w:lineRule="auto"/>
              <w:rPr>
                <w:rFonts w:eastAsia="Times New Roman" w:cstheme="minorHAnsi"/>
                <w:b/>
                <w:bCs/>
                <w:color w:val="000000"/>
                <w:sz w:val="20"/>
                <w:szCs w:val="20"/>
                <w:lang w:eastAsia="en-CA"/>
              </w:rPr>
            </w:pPr>
          </w:p>
        </w:tc>
      </w:tr>
      <w:tr w:rsidR="00B41D3D" w:rsidRPr="00E75CB3" w14:paraId="65F51334" w14:textId="77777777" w:rsidTr="00B41D3D">
        <w:trPr>
          <w:trHeight w:val="266"/>
        </w:trPr>
        <w:tc>
          <w:tcPr>
            <w:tcW w:w="4472" w:type="dxa"/>
            <w:tcBorders>
              <w:top w:val="nil"/>
              <w:left w:val="nil"/>
              <w:bottom w:val="single" w:sz="4" w:space="0" w:color="auto"/>
              <w:right w:val="nil"/>
            </w:tcBorders>
            <w:noWrap/>
            <w:vAlign w:val="bottom"/>
            <w:hideMark/>
          </w:tcPr>
          <w:p w14:paraId="4D91C6D7" w14:textId="77777777" w:rsidR="00B41D3D" w:rsidRPr="00E75CB3" w:rsidRDefault="00B41D3D" w:rsidP="00B41D3D">
            <w:pPr>
              <w:spacing w:after="0" w:line="276" w:lineRule="auto"/>
              <w:rPr>
                <w:rFonts w:eastAsiaTheme="minorEastAsia"/>
                <w:sz w:val="20"/>
                <w:szCs w:val="20"/>
                <w:lang w:eastAsia="en-CA"/>
              </w:rPr>
            </w:pPr>
          </w:p>
        </w:tc>
        <w:tc>
          <w:tcPr>
            <w:tcW w:w="2011" w:type="dxa"/>
            <w:tcBorders>
              <w:top w:val="nil"/>
              <w:left w:val="nil"/>
              <w:bottom w:val="single" w:sz="4" w:space="0" w:color="auto"/>
              <w:right w:val="nil"/>
            </w:tcBorders>
            <w:noWrap/>
            <w:vAlign w:val="bottom"/>
            <w:hideMark/>
          </w:tcPr>
          <w:p w14:paraId="6C85FC0C"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Total Mean (SD)</w:t>
            </w:r>
          </w:p>
        </w:tc>
        <w:tc>
          <w:tcPr>
            <w:tcW w:w="1546" w:type="dxa"/>
            <w:tcBorders>
              <w:top w:val="nil"/>
              <w:left w:val="nil"/>
              <w:bottom w:val="single" w:sz="4" w:space="0" w:color="auto"/>
              <w:right w:val="nil"/>
            </w:tcBorders>
            <w:noWrap/>
            <w:vAlign w:val="bottom"/>
            <w:hideMark/>
          </w:tcPr>
          <w:p w14:paraId="6B233F4F"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Mean (SD)</w:t>
            </w:r>
          </w:p>
        </w:tc>
        <w:tc>
          <w:tcPr>
            <w:tcW w:w="1545" w:type="dxa"/>
            <w:tcBorders>
              <w:top w:val="nil"/>
              <w:left w:val="nil"/>
              <w:bottom w:val="single" w:sz="4" w:space="0" w:color="auto"/>
              <w:right w:val="nil"/>
            </w:tcBorders>
            <w:noWrap/>
            <w:vAlign w:val="bottom"/>
            <w:hideMark/>
          </w:tcPr>
          <w:p w14:paraId="4240A9B8"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 xml:space="preserve"> Mean</w:t>
            </w:r>
          </w:p>
          <w:p w14:paraId="45BBC099"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(SD)</w:t>
            </w:r>
          </w:p>
        </w:tc>
        <w:tc>
          <w:tcPr>
            <w:tcW w:w="2261" w:type="dxa"/>
            <w:tcBorders>
              <w:top w:val="nil"/>
              <w:left w:val="nil"/>
              <w:bottom w:val="single" w:sz="4" w:space="0" w:color="auto"/>
              <w:right w:val="nil"/>
            </w:tcBorders>
            <w:noWrap/>
            <w:vAlign w:val="bottom"/>
            <w:hideMark/>
          </w:tcPr>
          <w:p w14:paraId="4ED895BB"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P-value</w:t>
            </w:r>
          </w:p>
        </w:tc>
      </w:tr>
      <w:tr w:rsidR="00B41D3D" w:rsidRPr="00E75CB3" w14:paraId="0C5682BC" w14:textId="77777777" w:rsidTr="00B41D3D">
        <w:trPr>
          <w:trHeight w:val="266"/>
        </w:trPr>
        <w:tc>
          <w:tcPr>
            <w:tcW w:w="4472" w:type="dxa"/>
            <w:noWrap/>
            <w:vAlign w:val="bottom"/>
          </w:tcPr>
          <w:p w14:paraId="05EE9DCB" w14:textId="77777777" w:rsidR="00B41D3D" w:rsidRPr="00E75CB3" w:rsidRDefault="00B41D3D" w:rsidP="00B41D3D">
            <w:pPr>
              <w:spacing w:after="0" w:line="276" w:lineRule="auto"/>
              <w:rPr>
                <w:rFonts w:eastAsia="Times New Roman" w:cstheme="minorHAnsi"/>
                <w:color w:val="000000"/>
                <w:sz w:val="20"/>
                <w:szCs w:val="20"/>
                <w:lang w:eastAsia="en-CA"/>
              </w:rPr>
            </w:pPr>
          </w:p>
          <w:p w14:paraId="2E281770"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Age at first ANC visit (yr.)</w:t>
            </w:r>
          </w:p>
        </w:tc>
        <w:tc>
          <w:tcPr>
            <w:tcW w:w="2011" w:type="dxa"/>
            <w:noWrap/>
            <w:vAlign w:val="bottom"/>
          </w:tcPr>
          <w:p w14:paraId="53180159"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26.7 (5.2)</w:t>
            </w:r>
          </w:p>
        </w:tc>
        <w:tc>
          <w:tcPr>
            <w:tcW w:w="1546" w:type="dxa"/>
            <w:noWrap/>
            <w:vAlign w:val="bottom"/>
          </w:tcPr>
          <w:p w14:paraId="5AF88F1E" w14:textId="37B04A76" w:rsidR="00B41D3D" w:rsidRPr="00E75CB3" w:rsidRDefault="00437879" w:rsidP="00B41D3D">
            <w:pPr>
              <w:spacing w:after="0" w:line="276" w:lineRule="auto"/>
              <w:rPr>
                <w:rFonts w:eastAsia="Times New Roman" w:cstheme="minorHAnsi"/>
                <w:color w:val="000000"/>
                <w:sz w:val="20"/>
                <w:szCs w:val="20"/>
                <w:lang w:eastAsia="en-CA"/>
              </w:rPr>
            </w:pPr>
            <w:r>
              <w:rPr>
                <w:rFonts w:eastAsia="Times New Roman" w:cstheme="minorHAnsi"/>
                <w:color w:val="000000"/>
                <w:sz w:val="20"/>
                <w:szCs w:val="20"/>
                <w:lang w:eastAsia="en-CA"/>
              </w:rPr>
              <w:t>25.87(5.21)</w:t>
            </w:r>
          </w:p>
        </w:tc>
        <w:tc>
          <w:tcPr>
            <w:tcW w:w="1545" w:type="dxa"/>
            <w:noWrap/>
            <w:vAlign w:val="bottom"/>
          </w:tcPr>
          <w:p w14:paraId="0C975F4C" w14:textId="14250120" w:rsidR="00B41D3D" w:rsidRPr="00E75CB3" w:rsidRDefault="00437879"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27.43(5.03)</w:t>
            </w:r>
          </w:p>
        </w:tc>
        <w:tc>
          <w:tcPr>
            <w:tcW w:w="2261" w:type="dxa"/>
            <w:noWrap/>
            <w:vAlign w:val="bottom"/>
          </w:tcPr>
          <w:p w14:paraId="262FA194" w14:textId="006D5ECF" w:rsidR="00B41D3D" w:rsidRPr="0009599C" w:rsidRDefault="00437879" w:rsidP="00B41D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76" w:lineRule="auto"/>
              <w:rPr>
                <w:rFonts w:eastAsia="Times New Roman" w:cs="Courier New"/>
                <w:color w:val="000000"/>
                <w:sz w:val="20"/>
                <w:szCs w:val="20"/>
                <w:vertAlign w:val="superscript"/>
                <w:lang w:eastAsia="en-CA"/>
              </w:rPr>
            </w:pPr>
            <w:r>
              <w:rPr>
                <w:rFonts w:eastAsia="Times New Roman" w:cs="Courier New"/>
                <w:color w:val="000000"/>
                <w:sz w:val="20"/>
                <w:szCs w:val="20"/>
                <w:lang w:eastAsia="en-CA"/>
              </w:rPr>
              <w:t>0.04</w:t>
            </w:r>
            <w:r w:rsidR="0009599C">
              <w:rPr>
                <w:rFonts w:eastAsia="Times New Roman" w:cs="Courier New"/>
                <w:color w:val="000000"/>
                <w:sz w:val="20"/>
                <w:szCs w:val="20"/>
                <w:vertAlign w:val="superscript"/>
                <w:lang w:eastAsia="en-CA"/>
              </w:rPr>
              <w:t>a</w:t>
            </w:r>
          </w:p>
        </w:tc>
      </w:tr>
      <w:tr w:rsidR="00B41D3D" w:rsidRPr="00E75CB3" w14:paraId="5BED000B" w14:textId="77777777" w:rsidTr="00B41D3D">
        <w:trPr>
          <w:trHeight w:val="266"/>
        </w:trPr>
        <w:tc>
          <w:tcPr>
            <w:tcW w:w="4472" w:type="dxa"/>
            <w:noWrap/>
            <w:vAlign w:val="bottom"/>
          </w:tcPr>
          <w:p w14:paraId="6DE22336" w14:textId="77777777" w:rsidR="00B41D3D" w:rsidRPr="00E75CB3" w:rsidRDefault="00B41D3D" w:rsidP="00B41D3D">
            <w:pPr>
              <w:spacing w:after="0" w:line="276" w:lineRule="auto"/>
              <w:rPr>
                <w:rFonts w:eastAsia="Times New Roman" w:cstheme="minorHAnsi"/>
                <w:color w:val="000000"/>
                <w:sz w:val="20"/>
                <w:szCs w:val="20"/>
                <w:lang w:eastAsia="en-CA"/>
              </w:rPr>
            </w:pPr>
          </w:p>
          <w:p w14:paraId="176DC24F"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BMI (kg m</w:t>
            </w:r>
            <w:r w:rsidRPr="00E75CB3">
              <w:rPr>
                <w:rFonts w:eastAsia="Times New Roman" w:cstheme="minorHAnsi"/>
                <w:color w:val="000000"/>
                <w:sz w:val="20"/>
                <w:szCs w:val="20"/>
                <w:vertAlign w:val="superscript"/>
                <w:lang w:eastAsia="en-CA"/>
              </w:rPr>
              <w:t>-2</w:t>
            </w:r>
            <w:r w:rsidRPr="00E75CB3">
              <w:rPr>
                <w:rFonts w:eastAsia="Times New Roman" w:cstheme="minorHAnsi"/>
                <w:color w:val="000000"/>
                <w:sz w:val="20"/>
                <w:szCs w:val="20"/>
                <w:lang w:eastAsia="en-CA"/>
              </w:rPr>
              <w:t>) (n=994)</w:t>
            </w:r>
          </w:p>
        </w:tc>
        <w:tc>
          <w:tcPr>
            <w:tcW w:w="2011" w:type="dxa"/>
            <w:noWrap/>
            <w:vAlign w:val="bottom"/>
          </w:tcPr>
          <w:p w14:paraId="68C4158E"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24.9 (4.3)</w:t>
            </w:r>
          </w:p>
        </w:tc>
        <w:tc>
          <w:tcPr>
            <w:tcW w:w="1546" w:type="dxa"/>
            <w:noWrap/>
            <w:vAlign w:val="bottom"/>
          </w:tcPr>
          <w:p w14:paraId="457BE604" w14:textId="33758905" w:rsidR="00B41D3D" w:rsidRPr="00E75CB3" w:rsidRDefault="00437879" w:rsidP="00B41D3D">
            <w:pPr>
              <w:spacing w:after="0" w:line="276" w:lineRule="auto"/>
              <w:rPr>
                <w:rFonts w:eastAsia="Times New Roman" w:cstheme="minorHAnsi"/>
                <w:color w:val="000000"/>
                <w:sz w:val="20"/>
                <w:szCs w:val="20"/>
                <w:lang w:eastAsia="en-CA"/>
              </w:rPr>
            </w:pPr>
            <w:r>
              <w:rPr>
                <w:rFonts w:eastAsia="Times New Roman" w:cstheme="minorHAnsi"/>
                <w:color w:val="000000"/>
                <w:sz w:val="20"/>
                <w:szCs w:val="20"/>
                <w:lang w:eastAsia="en-CA"/>
              </w:rPr>
              <w:t>24.90 (4.57)</w:t>
            </w:r>
          </w:p>
        </w:tc>
        <w:tc>
          <w:tcPr>
            <w:tcW w:w="1545" w:type="dxa"/>
            <w:noWrap/>
            <w:vAlign w:val="bottom"/>
          </w:tcPr>
          <w:p w14:paraId="3D3403D7" w14:textId="358501EE" w:rsidR="00B41D3D" w:rsidRPr="00E75CB3" w:rsidRDefault="00437879" w:rsidP="00B41D3D">
            <w:pPr>
              <w:spacing w:after="0" w:line="276" w:lineRule="auto"/>
              <w:rPr>
                <w:rFonts w:eastAsia="Times New Roman" w:cstheme="minorHAnsi"/>
                <w:color w:val="000000"/>
                <w:sz w:val="20"/>
                <w:szCs w:val="20"/>
                <w:lang w:eastAsia="en-CA"/>
              </w:rPr>
            </w:pPr>
            <w:r>
              <w:rPr>
                <w:rFonts w:eastAsia="Times New Roman" w:cstheme="minorHAnsi"/>
                <w:color w:val="000000"/>
                <w:sz w:val="20"/>
                <w:szCs w:val="20"/>
                <w:lang w:eastAsia="en-CA"/>
              </w:rPr>
              <w:t>24.86(4.16)</w:t>
            </w:r>
          </w:p>
        </w:tc>
        <w:tc>
          <w:tcPr>
            <w:tcW w:w="2261" w:type="dxa"/>
            <w:noWrap/>
            <w:vAlign w:val="bottom"/>
          </w:tcPr>
          <w:p w14:paraId="0F842786" w14:textId="250C68DA" w:rsidR="00B41D3D" w:rsidRPr="00E75CB3" w:rsidRDefault="00437879" w:rsidP="00B41D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76" w:lineRule="auto"/>
              <w:rPr>
                <w:rFonts w:eastAsia="Times New Roman" w:cs="Courier New"/>
                <w:color w:val="000000"/>
                <w:sz w:val="20"/>
                <w:szCs w:val="20"/>
                <w:lang w:eastAsia="en-CA"/>
              </w:rPr>
            </w:pPr>
            <w:r>
              <w:rPr>
                <w:rFonts w:eastAsia="Times New Roman" w:cs="Courier New"/>
                <w:color w:val="000000"/>
                <w:sz w:val="20"/>
                <w:szCs w:val="20"/>
                <w:lang w:eastAsia="en-CA"/>
              </w:rPr>
              <w:t>0.95</w:t>
            </w:r>
          </w:p>
        </w:tc>
      </w:tr>
      <w:tr w:rsidR="00B41D3D" w:rsidRPr="00E75CB3" w14:paraId="114061B9" w14:textId="77777777" w:rsidTr="00B41D3D">
        <w:trPr>
          <w:trHeight w:val="266"/>
        </w:trPr>
        <w:tc>
          <w:tcPr>
            <w:tcW w:w="4472" w:type="dxa"/>
            <w:noWrap/>
            <w:vAlign w:val="bottom"/>
            <w:hideMark/>
          </w:tcPr>
          <w:p w14:paraId="2E2780F6" w14:textId="77777777" w:rsidR="00B41D3D" w:rsidRPr="00E75CB3" w:rsidRDefault="00B41D3D" w:rsidP="00B41D3D">
            <w:pPr>
              <w:spacing w:after="0" w:line="276" w:lineRule="auto"/>
              <w:rPr>
                <w:rFonts w:eastAsiaTheme="minorEastAsia"/>
                <w:sz w:val="20"/>
                <w:szCs w:val="20"/>
                <w:lang w:eastAsia="en-CA"/>
              </w:rPr>
            </w:pPr>
          </w:p>
        </w:tc>
        <w:tc>
          <w:tcPr>
            <w:tcW w:w="2011" w:type="dxa"/>
            <w:noWrap/>
            <w:vAlign w:val="bottom"/>
            <w:hideMark/>
          </w:tcPr>
          <w:p w14:paraId="3C8B247A"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 xml:space="preserve">Total group </w:t>
            </w:r>
            <w:proofErr w:type="gramStart"/>
            <w:r w:rsidRPr="00E75CB3">
              <w:rPr>
                <w:rFonts w:eastAsia="Times New Roman" w:cstheme="minorHAnsi"/>
                <w:b/>
                <w:bCs/>
                <w:color w:val="000000"/>
                <w:sz w:val="20"/>
                <w:szCs w:val="20"/>
                <w:lang w:eastAsia="en-CA"/>
              </w:rPr>
              <w:t>N(</w:t>
            </w:r>
            <w:proofErr w:type="gramEnd"/>
            <w:r w:rsidRPr="00E75CB3">
              <w:rPr>
                <w:rFonts w:eastAsia="Times New Roman" w:cstheme="minorHAnsi"/>
                <w:b/>
                <w:bCs/>
                <w:color w:val="000000"/>
                <w:sz w:val="20"/>
                <w:szCs w:val="20"/>
                <w:lang w:eastAsia="en-CA"/>
              </w:rPr>
              <w:t xml:space="preserve">%) </w:t>
            </w:r>
          </w:p>
        </w:tc>
        <w:tc>
          <w:tcPr>
            <w:tcW w:w="1546" w:type="dxa"/>
            <w:noWrap/>
            <w:vAlign w:val="bottom"/>
            <w:hideMark/>
          </w:tcPr>
          <w:p w14:paraId="41031E42"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N</w:t>
            </w:r>
          </w:p>
        </w:tc>
        <w:tc>
          <w:tcPr>
            <w:tcW w:w="1545" w:type="dxa"/>
            <w:noWrap/>
            <w:vAlign w:val="bottom"/>
            <w:hideMark/>
          </w:tcPr>
          <w:p w14:paraId="2FAC9DD3"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N</w:t>
            </w:r>
          </w:p>
        </w:tc>
        <w:tc>
          <w:tcPr>
            <w:tcW w:w="2261" w:type="dxa"/>
            <w:noWrap/>
            <w:vAlign w:val="bottom"/>
            <w:hideMark/>
          </w:tcPr>
          <w:p w14:paraId="0C2F64F2" w14:textId="77777777" w:rsidR="00B41D3D" w:rsidRPr="00E75CB3" w:rsidRDefault="00B41D3D" w:rsidP="00B41D3D">
            <w:pPr>
              <w:spacing w:after="0" w:line="276" w:lineRule="auto"/>
              <w:rPr>
                <w:rFonts w:eastAsia="Times New Roman" w:cstheme="minorHAnsi"/>
                <w:b/>
                <w:bCs/>
                <w:color w:val="000000"/>
                <w:sz w:val="20"/>
                <w:szCs w:val="20"/>
                <w:lang w:eastAsia="en-CA"/>
              </w:rPr>
            </w:pPr>
            <w:r w:rsidRPr="00E75CB3">
              <w:rPr>
                <w:rFonts w:eastAsia="Times New Roman" w:cstheme="minorHAnsi"/>
                <w:b/>
                <w:bCs/>
                <w:color w:val="000000"/>
                <w:sz w:val="20"/>
                <w:szCs w:val="20"/>
                <w:lang w:eastAsia="en-CA"/>
              </w:rPr>
              <w:t>P-value</w:t>
            </w:r>
          </w:p>
        </w:tc>
      </w:tr>
      <w:tr w:rsidR="00B41D3D" w:rsidRPr="00E75CB3" w14:paraId="385A5B10" w14:textId="77777777" w:rsidTr="00B41D3D">
        <w:trPr>
          <w:trHeight w:val="266"/>
        </w:trPr>
        <w:tc>
          <w:tcPr>
            <w:tcW w:w="4472" w:type="dxa"/>
            <w:noWrap/>
            <w:vAlign w:val="bottom"/>
          </w:tcPr>
          <w:p w14:paraId="6DF1A675" w14:textId="77777777" w:rsidR="00B41D3D" w:rsidRPr="00E75CB3" w:rsidRDefault="00B41D3D" w:rsidP="00B41D3D">
            <w:pPr>
              <w:spacing w:after="0" w:line="240" w:lineRule="auto"/>
              <w:rPr>
                <w:rFonts w:eastAsia="Times New Roman" w:cstheme="minorHAnsi"/>
                <w:color w:val="000000"/>
                <w:sz w:val="20"/>
                <w:szCs w:val="20"/>
                <w:lang w:eastAsia="en-CA"/>
              </w:rPr>
            </w:pPr>
          </w:p>
          <w:p w14:paraId="6A8BD5CE" w14:textId="77777777" w:rsidR="00B41D3D" w:rsidRPr="00E75CB3" w:rsidRDefault="00B41D3D" w:rsidP="00B41D3D">
            <w:pPr>
              <w:spacing w:after="0" w:line="240" w:lineRule="auto"/>
              <w:rPr>
                <w:rFonts w:eastAsia="Times New Roman" w:cstheme="minorHAnsi"/>
                <w:b/>
                <w:color w:val="000000"/>
                <w:sz w:val="20"/>
                <w:szCs w:val="20"/>
                <w:lang w:eastAsia="en-CA"/>
              </w:rPr>
            </w:pPr>
            <w:r w:rsidRPr="00E75CB3">
              <w:rPr>
                <w:rFonts w:eastAsia="Times New Roman" w:cstheme="minorHAnsi"/>
                <w:b/>
                <w:color w:val="000000"/>
                <w:sz w:val="20"/>
                <w:szCs w:val="20"/>
                <w:lang w:eastAsia="en-CA"/>
              </w:rPr>
              <w:t xml:space="preserve">Maternal Education </w:t>
            </w:r>
          </w:p>
        </w:tc>
        <w:tc>
          <w:tcPr>
            <w:tcW w:w="2011" w:type="dxa"/>
            <w:noWrap/>
            <w:vAlign w:val="bottom"/>
          </w:tcPr>
          <w:p w14:paraId="1196310E" w14:textId="77777777" w:rsidR="00B41D3D" w:rsidRPr="00E75CB3" w:rsidRDefault="00B41D3D" w:rsidP="00B41D3D">
            <w:pPr>
              <w:spacing w:line="240" w:lineRule="auto"/>
              <w:rPr>
                <w:rFonts w:eastAsia="Times New Roman" w:cstheme="minorHAnsi"/>
                <w:b/>
                <w:color w:val="000000"/>
                <w:sz w:val="20"/>
                <w:szCs w:val="20"/>
                <w:lang w:eastAsia="en-CA"/>
              </w:rPr>
            </w:pPr>
          </w:p>
        </w:tc>
        <w:tc>
          <w:tcPr>
            <w:tcW w:w="1546" w:type="dxa"/>
            <w:noWrap/>
            <w:vAlign w:val="bottom"/>
          </w:tcPr>
          <w:p w14:paraId="49E4AB2B" w14:textId="77777777" w:rsidR="00B41D3D" w:rsidRPr="00E75CB3" w:rsidRDefault="00B41D3D" w:rsidP="00B41D3D">
            <w:pPr>
              <w:spacing w:after="0" w:line="240" w:lineRule="auto"/>
              <w:rPr>
                <w:rFonts w:eastAsiaTheme="minorEastAsia"/>
                <w:sz w:val="20"/>
                <w:szCs w:val="20"/>
                <w:lang w:eastAsia="en-CA"/>
              </w:rPr>
            </w:pPr>
          </w:p>
        </w:tc>
        <w:tc>
          <w:tcPr>
            <w:tcW w:w="1545" w:type="dxa"/>
            <w:noWrap/>
            <w:vAlign w:val="bottom"/>
          </w:tcPr>
          <w:p w14:paraId="64877C97" w14:textId="77777777" w:rsidR="00B41D3D" w:rsidRPr="00E75CB3" w:rsidRDefault="00B41D3D" w:rsidP="00B41D3D">
            <w:pPr>
              <w:spacing w:after="0" w:line="240" w:lineRule="auto"/>
              <w:rPr>
                <w:rFonts w:eastAsiaTheme="minorEastAsia"/>
                <w:sz w:val="20"/>
                <w:szCs w:val="20"/>
                <w:lang w:eastAsia="en-CA"/>
              </w:rPr>
            </w:pPr>
          </w:p>
        </w:tc>
        <w:tc>
          <w:tcPr>
            <w:tcW w:w="2261" w:type="dxa"/>
            <w:noWrap/>
            <w:vAlign w:val="bottom"/>
          </w:tcPr>
          <w:p w14:paraId="3CC3A33E" w14:textId="77777777" w:rsidR="00B41D3D" w:rsidRPr="00E75CB3" w:rsidRDefault="00B41D3D" w:rsidP="00B41D3D">
            <w:pPr>
              <w:spacing w:after="0" w:line="240" w:lineRule="auto"/>
              <w:jc w:val="center"/>
              <w:rPr>
                <w:rFonts w:eastAsia="Times New Roman" w:cstheme="minorHAnsi"/>
                <w:color w:val="000000"/>
                <w:sz w:val="20"/>
                <w:szCs w:val="20"/>
                <w:vertAlign w:val="superscript"/>
                <w:lang w:eastAsia="en-CA"/>
              </w:rPr>
            </w:pPr>
          </w:p>
        </w:tc>
      </w:tr>
      <w:tr w:rsidR="00B41D3D" w:rsidRPr="00E75CB3" w14:paraId="496D82B6" w14:textId="77777777" w:rsidTr="00B41D3D">
        <w:trPr>
          <w:trHeight w:val="266"/>
        </w:trPr>
        <w:tc>
          <w:tcPr>
            <w:tcW w:w="4472" w:type="dxa"/>
            <w:noWrap/>
            <w:vAlign w:val="bottom"/>
          </w:tcPr>
          <w:p w14:paraId="7D6450F9" w14:textId="77777777" w:rsidR="00B41D3D" w:rsidRPr="00E75CB3" w:rsidRDefault="00B41D3D" w:rsidP="00B41D3D">
            <w:pPr>
              <w:spacing w:after="0" w:line="276" w:lineRule="auto"/>
              <w:rPr>
                <w:rFonts w:eastAsia="Times New Roman" w:cstheme="minorHAnsi"/>
                <w:color w:val="000000"/>
                <w:sz w:val="20"/>
                <w:szCs w:val="20"/>
                <w:lang w:eastAsia="en-CA"/>
              </w:rPr>
            </w:pPr>
          </w:p>
          <w:p w14:paraId="0C834A56"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No education</w:t>
            </w:r>
          </w:p>
        </w:tc>
        <w:tc>
          <w:tcPr>
            <w:tcW w:w="2011" w:type="dxa"/>
            <w:noWrap/>
            <w:vAlign w:val="bottom"/>
          </w:tcPr>
          <w:p w14:paraId="23C76BAF"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27 (15)</w:t>
            </w:r>
          </w:p>
        </w:tc>
        <w:tc>
          <w:tcPr>
            <w:tcW w:w="1546" w:type="dxa"/>
            <w:noWrap/>
            <w:vAlign w:val="bottom"/>
          </w:tcPr>
          <w:p w14:paraId="347AD305" w14:textId="43FF8176"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18</w:t>
            </w:r>
            <w:r w:rsidR="00180A93">
              <w:rPr>
                <w:rFonts w:eastAsia="Times New Roman" w:cstheme="minorHAnsi"/>
                <w:sz w:val="20"/>
                <w:szCs w:val="20"/>
                <w:lang w:eastAsia="en-CA"/>
              </w:rPr>
              <w:t xml:space="preserve"> (21)</w:t>
            </w:r>
          </w:p>
        </w:tc>
        <w:tc>
          <w:tcPr>
            <w:tcW w:w="1545" w:type="dxa"/>
            <w:noWrap/>
            <w:vAlign w:val="bottom"/>
          </w:tcPr>
          <w:p w14:paraId="66FE345D" w14:textId="138AA76A"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9</w:t>
            </w:r>
            <w:r w:rsidR="00180A93">
              <w:rPr>
                <w:rFonts w:eastAsia="Times New Roman" w:cstheme="minorHAnsi"/>
                <w:sz w:val="20"/>
                <w:szCs w:val="20"/>
                <w:lang w:eastAsia="en-CA"/>
              </w:rPr>
              <w:t xml:space="preserve"> (9)</w:t>
            </w:r>
          </w:p>
        </w:tc>
        <w:tc>
          <w:tcPr>
            <w:tcW w:w="2261" w:type="dxa"/>
            <w:noWrap/>
            <w:vAlign w:val="bottom"/>
          </w:tcPr>
          <w:p w14:paraId="412BD3EA" w14:textId="7EDADE72" w:rsidR="00B41D3D" w:rsidRPr="0009599C" w:rsidRDefault="00482F2D" w:rsidP="00B41D3D">
            <w:pPr>
              <w:spacing w:line="276" w:lineRule="auto"/>
              <w:rPr>
                <w:rFonts w:eastAsia="Times New Roman" w:cstheme="minorHAnsi"/>
                <w:sz w:val="20"/>
                <w:szCs w:val="20"/>
                <w:vertAlign w:val="superscript"/>
                <w:lang w:eastAsia="en-CA"/>
              </w:rPr>
            </w:pPr>
            <w:r>
              <w:rPr>
                <w:rFonts w:eastAsia="Times New Roman" w:cstheme="minorHAnsi"/>
                <w:sz w:val="20"/>
                <w:szCs w:val="20"/>
                <w:lang w:eastAsia="en-CA"/>
              </w:rPr>
              <w:t>P&lt;0.001</w:t>
            </w:r>
            <w:r w:rsidR="0009599C">
              <w:rPr>
                <w:rFonts w:eastAsia="Times New Roman" w:cstheme="minorHAnsi"/>
                <w:sz w:val="20"/>
                <w:szCs w:val="20"/>
                <w:vertAlign w:val="superscript"/>
                <w:lang w:eastAsia="en-CA"/>
              </w:rPr>
              <w:t>a</w:t>
            </w:r>
          </w:p>
        </w:tc>
      </w:tr>
      <w:tr w:rsidR="00B41D3D" w:rsidRPr="00E75CB3" w14:paraId="4DF0CB2B" w14:textId="77777777" w:rsidTr="00B41D3D">
        <w:trPr>
          <w:trHeight w:val="266"/>
        </w:trPr>
        <w:tc>
          <w:tcPr>
            <w:tcW w:w="4472" w:type="dxa"/>
            <w:noWrap/>
            <w:vAlign w:val="bottom"/>
            <w:hideMark/>
          </w:tcPr>
          <w:p w14:paraId="093C5DA2"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Primary school</w:t>
            </w:r>
          </w:p>
        </w:tc>
        <w:tc>
          <w:tcPr>
            <w:tcW w:w="2011" w:type="dxa"/>
            <w:noWrap/>
            <w:vAlign w:val="bottom"/>
          </w:tcPr>
          <w:p w14:paraId="6BE0B756"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36 (19)</w:t>
            </w:r>
          </w:p>
        </w:tc>
        <w:tc>
          <w:tcPr>
            <w:tcW w:w="1546" w:type="dxa"/>
            <w:noWrap/>
            <w:vAlign w:val="bottom"/>
          </w:tcPr>
          <w:p w14:paraId="26E653E2" w14:textId="2CC84EA7"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22</w:t>
            </w:r>
            <w:r w:rsidR="00180A93">
              <w:rPr>
                <w:rFonts w:eastAsia="Times New Roman" w:cstheme="minorHAnsi"/>
                <w:sz w:val="20"/>
                <w:szCs w:val="20"/>
                <w:lang w:eastAsia="en-CA"/>
              </w:rPr>
              <w:t xml:space="preserve"> (26)</w:t>
            </w:r>
          </w:p>
        </w:tc>
        <w:tc>
          <w:tcPr>
            <w:tcW w:w="1545" w:type="dxa"/>
            <w:noWrap/>
            <w:vAlign w:val="bottom"/>
          </w:tcPr>
          <w:p w14:paraId="6D2CBF78" w14:textId="36544CB9"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14</w:t>
            </w:r>
            <w:r w:rsidR="00180A93">
              <w:rPr>
                <w:rFonts w:eastAsia="Times New Roman" w:cstheme="minorHAnsi"/>
                <w:sz w:val="20"/>
                <w:szCs w:val="20"/>
                <w:lang w:eastAsia="en-CA"/>
              </w:rPr>
              <w:t xml:space="preserve"> (14)</w:t>
            </w:r>
          </w:p>
        </w:tc>
        <w:tc>
          <w:tcPr>
            <w:tcW w:w="2261" w:type="dxa"/>
            <w:noWrap/>
            <w:vAlign w:val="bottom"/>
          </w:tcPr>
          <w:p w14:paraId="68BA4B8A"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21E7CF37" w14:textId="77777777" w:rsidTr="00B41D3D">
        <w:trPr>
          <w:trHeight w:val="266"/>
        </w:trPr>
        <w:tc>
          <w:tcPr>
            <w:tcW w:w="4472" w:type="dxa"/>
            <w:noWrap/>
            <w:vAlign w:val="bottom"/>
            <w:hideMark/>
          </w:tcPr>
          <w:p w14:paraId="29AF08E3"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 xml:space="preserve">Lower Secondary or Vocational </w:t>
            </w:r>
          </w:p>
        </w:tc>
        <w:tc>
          <w:tcPr>
            <w:tcW w:w="2011" w:type="dxa"/>
            <w:noWrap/>
            <w:vAlign w:val="bottom"/>
          </w:tcPr>
          <w:p w14:paraId="3AF4C541"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81 (44)</w:t>
            </w:r>
          </w:p>
        </w:tc>
        <w:tc>
          <w:tcPr>
            <w:tcW w:w="1546" w:type="dxa"/>
            <w:noWrap/>
            <w:vAlign w:val="bottom"/>
          </w:tcPr>
          <w:p w14:paraId="5B4031D1" w14:textId="017A8AC3"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33</w:t>
            </w:r>
            <w:r w:rsidR="00180A93">
              <w:rPr>
                <w:rFonts w:eastAsia="Times New Roman" w:cstheme="minorHAnsi"/>
                <w:sz w:val="20"/>
                <w:szCs w:val="20"/>
                <w:lang w:eastAsia="en-CA"/>
              </w:rPr>
              <w:t xml:space="preserve"> (39)</w:t>
            </w:r>
          </w:p>
        </w:tc>
        <w:tc>
          <w:tcPr>
            <w:tcW w:w="1545" w:type="dxa"/>
            <w:noWrap/>
            <w:vAlign w:val="bottom"/>
          </w:tcPr>
          <w:p w14:paraId="48C40BA6" w14:textId="034561F5"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48</w:t>
            </w:r>
            <w:r w:rsidR="00180A93">
              <w:rPr>
                <w:rFonts w:eastAsia="Times New Roman" w:cstheme="minorHAnsi"/>
                <w:sz w:val="20"/>
                <w:szCs w:val="20"/>
                <w:lang w:eastAsia="en-CA"/>
              </w:rPr>
              <w:t xml:space="preserve"> (48)</w:t>
            </w:r>
          </w:p>
        </w:tc>
        <w:tc>
          <w:tcPr>
            <w:tcW w:w="2261" w:type="dxa"/>
            <w:noWrap/>
            <w:vAlign w:val="bottom"/>
          </w:tcPr>
          <w:p w14:paraId="23FFA849"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3EC5CCBE" w14:textId="77777777" w:rsidTr="00B41D3D">
        <w:trPr>
          <w:trHeight w:val="266"/>
        </w:trPr>
        <w:tc>
          <w:tcPr>
            <w:tcW w:w="4472" w:type="dxa"/>
            <w:noWrap/>
            <w:vAlign w:val="bottom"/>
            <w:hideMark/>
          </w:tcPr>
          <w:p w14:paraId="55052A86"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 xml:space="preserve">Upper Secondary &amp; Tertiary </w:t>
            </w:r>
          </w:p>
        </w:tc>
        <w:tc>
          <w:tcPr>
            <w:tcW w:w="2011" w:type="dxa"/>
            <w:noWrap/>
            <w:vAlign w:val="bottom"/>
          </w:tcPr>
          <w:p w14:paraId="423D43B3"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41(22)</w:t>
            </w:r>
          </w:p>
        </w:tc>
        <w:tc>
          <w:tcPr>
            <w:tcW w:w="1546" w:type="dxa"/>
            <w:noWrap/>
            <w:vAlign w:val="bottom"/>
          </w:tcPr>
          <w:p w14:paraId="435B0EE2" w14:textId="2EA48D3F"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11</w:t>
            </w:r>
            <w:r w:rsidR="00180A93">
              <w:rPr>
                <w:rFonts w:eastAsia="Times New Roman" w:cstheme="minorHAnsi"/>
                <w:sz w:val="20"/>
                <w:szCs w:val="20"/>
                <w:lang w:eastAsia="en-CA"/>
              </w:rPr>
              <w:t xml:space="preserve"> (13)</w:t>
            </w:r>
          </w:p>
        </w:tc>
        <w:tc>
          <w:tcPr>
            <w:tcW w:w="1545" w:type="dxa"/>
            <w:noWrap/>
            <w:vAlign w:val="bottom"/>
          </w:tcPr>
          <w:p w14:paraId="1756BA50" w14:textId="19D1116C"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30</w:t>
            </w:r>
            <w:r w:rsidR="00180A93">
              <w:rPr>
                <w:rFonts w:eastAsia="Times New Roman" w:cstheme="minorHAnsi"/>
                <w:sz w:val="20"/>
                <w:szCs w:val="20"/>
                <w:lang w:eastAsia="en-CA"/>
              </w:rPr>
              <w:t xml:space="preserve"> (30)</w:t>
            </w:r>
          </w:p>
        </w:tc>
        <w:tc>
          <w:tcPr>
            <w:tcW w:w="2261" w:type="dxa"/>
            <w:noWrap/>
            <w:vAlign w:val="bottom"/>
          </w:tcPr>
          <w:p w14:paraId="75364A1A"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0F541B14" w14:textId="77777777" w:rsidTr="00B41D3D">
        <w:trPr>
          <w:trHeight w:val="266"/>
        </w:trPr>
        <w:tc>
          <w:tcPr>
            <w:tcW w:w="4472" w:type="dxa"/>
            <w:noWrap/>
            <w:vAlign w:val="bottom"/>
          </w:tcPr>
          <w:p w14:paraId="454C7442" w14:textId="77777777" w:rsidR="00B41D3D" w:rsidRPr="00E75CB3" w:rsidRDefault="00B41D3D" w:rsidP="00B41D3D">
            <w:pPr>
              <w:spacing w:after="0" w:line="240" w:lineRule="auto"/>
              <w:rPr>
                <w:rFonts w:eastAsia="Times New Roman" w:cstheme="minorHAnsi"/>
                <w:color w:val="000000"/>
                <w:sz w:val="20"/>
                <w:szCs w:val="20"/>
                <w:lang w:eastAsia="en-CA"/>
              </w:rPr>
            </w:pPr>
          </w:p>
          <w:p w14:paraId="2114DCA6" w14:textId="77777777" w:rsidR="00B41D3D" w:rsidRPr="00E75CB3" w:rsidRDefault="00B41D3D" w:rsidP="00B41D3D">
            <w:pPr>
              <w:spacing w:after="0" w:line="240" w:lineRule="auto"/>
              <w:rPr>
                <w:rFonts w:eastAsia="Times New Roman" w:cstheme="minorHAnsi"/>
                <w:b/>
                <w:color w:val="000000"/>
                <w:sz w:val="20"/>
                <w:szCs w:val="20"/>
                <w:lang w:eastAsia="en-CA"/>
              </w:rPr>
            </w:pPr>
            <w:r w:rsidRPr="00E75CB3">
              <w:rPr>
                <w:rFonts w:eastAsia="Times New Roman" w:cstheme="minorHAnsi"/>
                <w:b/>
                <w:color w:val="000000"/>
                <w:sz w:val="20"/>
                <w:szCs w:val="20"/>
                <w:lang w:eastAsia="en-CA"/>
              </w:rPr>
              <w:t xml:space="preserve">SES by asset index </w:t>
            </w:r>
          </w:p>
        </w:tc>
        <w:tc>
          <w:tcPr>
            <w:tcW w:w="2011" w:type="dxa"/>
            <w:noWrap/>
            <w:vAlign w:val="bottom"/>
          </w:tcPr>
          <w:p w14:paraId="38618986" w14:textId="77777777" w:rsidR="00B41D3D" w:rsidRPr="00E75CB3" w:rsidRDefault="00B41D3D" w:rsidP="00B41D3D">
            <w:pPr>
              <w:spacing w:line="240" w:lineRule="auto"/>
              <w:rPr>
                <w:rFonts w:eastAsia="Times New Roman" w:cstheme="minorHAnsi"/>
                <w:b/>
                <w:sz w:val="20"/>
                <w:szCs w:val="20"/>
                <w:lang w:eastAsia="en-CA"/>
              </w:rPr>
            </w:pPr>
          </w:p>
        </w:tc>
        <w:tc>
          <w:tcPr>
            <w:tcW w:w="1546" w:type="dxa"/>
            <w:noWrap/>
            <w:vAlign w:val="bottom"/>
          </w:tcPr>
          <w:p w14:paraId="10E59C85" w14:textId="77777777" w:rsidR="00B41D3D" w:rsidRPr="00E75CB3" w:rsidRDefault="00B41D3D" w:rsidP="00B41D3D">
            <w:pPr>
              <w:spacing w:after="0" w:line="240" w:lineRule="auto"/>
              <w:rPr>
                <w:rFonts w:eastAsiaTheme="minorEastAsia"/>
                <w:sz w:val="20"/>
                <w:szCs w:val="20"/>
                <w:lang w:eastAsia="en-CA"/>
              </w:rPr>
            </w:pPr>
          </w:p>
        </w:tc>
        <w:tc>
          <w:tcPr>
            <w:tcW w:w="1545" w:type="dxa"/>
            <w:noWrap/>
            <w:vAlign w:val="bottom"/>
          </w:tcPr>
          <w:p w14:paraId="53B24EB1" w14:textId="77777777" w:rsidR="00B41D3D" w:rsidRPr="00E75CB3" w:rsidRDefault="00B41D3D" w:rsidP="00B41D3D">
            <w:pPr>
              <w:spacing w:after="0" w:line="240" w:lineRule="auto"/>
              <w:rPr>
                <w:rFonts w:eastAsiaTheme="minorEastAsia"/>
                <w:sz w:val="20"/>
                <w:szCs w:val="20"/>
                <w:lang w:eastAsia="en-CA"/>
              </w:rPr>
            </w:pPr>
          </w:p>
        </w:tc>
        <w:tc>
          <w:tcPr>
            <w:tcW w:w="2261" w:type="dxa"/>
            <w:noWrap/>
            <w:vAlign w:val="center"/>
          </w:tcPr>
          <w:p w14:paraId="5D0476F2" w14:textId="39B21EBD" w:rsidR="00B41D3D" w:rsidRPr="00E75CB3" w:rsidRDefault="00B41D3D" w:rsidP="00B41D3D">
            <w:pPr>
              <w:spacing w:after="0" w:line="240" w:lineRule="auto"/>
              <w:rPr>
                <w:rFonts w:eastAsia="Times New Roman" w:cstheme="minorHAnsi"/>
                <w:sz w:val="20"/>
                <w:szCs w:val="20"/>
                <w:vertAlign w:val="superscript"/>
                <w:lang w:eastAsia="en-CA"/>
              </w:rPr>
            </w:pPr>
          </w:p>
        </w:tc>
      </w:tr>
      <w:tr w:rsidR="00B41D3D" w:rsidRPr="00E75CB3" w14:paraId="76BA2EA7" w14:textId="77777777" w:rsidTr="00B41D3D">
        <w:trPr>
          <w:trHeight w:val="266"/>
        </w:trPr>
        <w:tc>
          <w:tcPr>
            <w:tcW w:w="4472" w:type="dxa"/>
            <w:noWrap/>
            <w:vAlign w:val="bottom"/>
            <w:hideMark/>
          </w:tcPr>
          <w:p w14:paraId="289F76BB"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Lowest 40%</w:t>
            </w:r>
          </w:p>
        </w:tc>
        <w:tc>
          <w:tcPr>
            <w:tcW w:w="2011" w:type="dxa"/>
            <w:noWrap/>
            <w:vAlign w:val="bottom"/>
          </w:tcPr>
          <w:p w14:paraId="089A9AB6"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100 (54)</w:t>
            </w:r>
          </w:p>
        </w:tc>
        <w:tc>
          <w:tcPr>
            <w:tcW w:w="1546" w:type="dxa"/>
            <w:noWrap/>
            <w:vAlign w:val="bottom"/>
          </w:tcPr>
          <w:p w14:paraId="2E2DE321" w14:textId="2FE66FA4"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76</w:t>
            </w:r>
            <w:r w:rsidR="00834763">
              <w:rPr>
                <w:rFonts w:eastAsia="Times New Roman" w:cstheme="minorHAnsi"/>
                <w:sz w:val="20"/>
                <w:szCs w:val="20"/>
                <w:lang w:eastAsia="en-CA"/>
              </w:rPr>
              <w:t xml:space="preserve"> (90)</w:t>
            </w:r>
          </w:p>
        </w:tc>
        <w:tc>
          <w:tcPr>
            <w:tcW w:w="1545" w:type="dxa"/>
            <w:noWrap/>
            <w:vAlign w:val="bottom"/>
          </w:tcPr>
          <w:p w14:paraId="316F2681" w14:textId="3DB2BB44"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24</w:t>
            </w:r>
            <w:r w:rsidR="00834763">
              <w:rPr>
                <w:rFonts w:eastAsia="Times New Roman" w:cstheme="minorHAnsi"/>
                <w:sz w:val="20"/>
                <w:szCs w:val="20"/>
                <w:lang w:eastAsia="en-CA"/>
              </w:rPr>
              <w:t xml:space="preserve"> (24)</w:t>
            </w:r>
          </w:p>
        </w:tc>
        <w:tc>
          <w:tcPr>
            <w:tcW w:w="2261" w:type="dxa"/>
            <w:noWrap/>
            <w:vAlign w:val="bottom"/>
          </w:tcPr>
          <w:p w14:paraId="10250193" w14:textId="2D94C4E9" w:rsidR="00B41D3D" w:rsidRPr="0009599C" w:rsidRDefault="00482F2D" w:rsidP="00B41D3D">
            <w:pPr>
              <w:spacing w:line="276" w:lineRule="auto"/>
              <w:rPr>
                <w:rFonts w:eastAsia="Times New Roman" w:cstheme="minorHAnsi"/>
                <w:sz w:val="20"/>
                <w:szCs w:val="20"/>
                <w:vertAlign w:val="superscript"/>
                <w:lang w:eastAsia="en-CA"/>
              </w:rPr>
            </w:pPr>
            <w:r>
              <w:rPr>
                <w:rFonts w:eastAsia="Times New Roman" w:cstheme="minorHAnsi"/>
                <w:sz w:val="20"/>
                <w:szCs w:val="20"/>
                <w:lang w:eastAsia="en-CA"/>
              </w:rPr>
              <w:t>P&lt;0.001</w:t>
            </w:r>
            <w:r w:rsidR="0009599C">
              <w:rPr>
                <w:rFonts w:eastAsia="Times New Roman" w:cstheme="minorHAnsi"/>
                <w:sz w:val="20"/>
                <w:szCs w:val="20"/>
                <w:vertAlign w:val="superscript"/>
                <w:lang w:eastAsia="en-CA"/>
              </w:rPr>
              <w:t>a</w:t>
            </w:r>
          </w:p>
        </w:tc>
      </w:tr>
      <w:tr w:rsidR="00B41D3D" w:rsidRPr="00E75CB3" w14:paraId="61310AE9" w14:textId="77777777" w:rsidTr="00B41D3D">
        <w:trPr>
          <w:trHeight w:val="266"/>
        </w:trPr>
        <w:tc>
          <w:tcPr>
            <w:tcW w:w="4472" w:type="dxa"/>
            <w:noWrap/>
            <w:vAlign w:val="bottom"/>
            <w:hideMark/>
          </w:tcPr>
          <w:p w14:paraId="5F9CBD18"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Middle 40%</w:t>
            </w:r>
          </w:p>
        </w:tc>
        <w:tc>
          <w:tcPr>
            <w:tcW w:w="2011" w:type="dxa"/>
            <w:noWrap/>
            <w:vAlign w:val="bottom"/>
          </w:tcPr>
          <w:p w14:paraId="1B0F2873"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61 (33)</w:t>
            </w:r>
          </w:p>
        </w:tc>
        <w:tc>
          <w:tcPr>
            <w:tcW w:w="1546" w:type="dxa"/>
            <w:noWrap/>
            <w:vAlign w:val="bottom"/>
          </w:tcPr>
          <w:p w14:paraId="2F8F7861" w14:textId="1086E488"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7</w:t>
            </w:r>
            <w:r w:rsidR="00834763">
              <w:rPr>
                <w:rFonts w:eastAsia="Times New Roman" w:cstheme="minorHAnsi"/>
                <w:sz w:val="20"/>
                <w:szCs w:val="20"/>
                <w:lang w:eastAsia="en-CA"/>
              </w:rPr>
              <w:t>(8)</w:t>
            </w:r>
          </w:p>
        </w:tc>
        <w:tc>
          <w:tcPr>
            <w:tcW w:w="1545" w:type="dxa"/>
            <w:noWrap/>
            <w:vAlign w:val="bottom"/>
          </w:tcPr>
          <w:p w14:paraId="2E09E859" w14:textId="55986CD8"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54</w:t>
            </w:r>
            <w:r w:rsidR="00834763">
              <w:rPr>
                <w:rFonts w:eastAsia="Times New Roman" w:cstheme="minorHAnsi"/>
                <w:sz w:val="20"/>
                <w:szCs w:val="20"/>
                <w:lang w:eastAsia="en-CA"/>
              </w:rPr>
              <w:t>(53)</w:t>
            </w:r>
          </w:p>
        </w:tc>
        <w:tc>
          <w:tcPr>
            <w:tcW w:w="2261" w:type="dxa"/>
            <w:noWrap/>
            <w:vAlign w:val="bottom"/>
          </w:tcPr>
          <w:p w14:paraId="4D236045"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396622B2" w14:textId="77777777" w:rsidTr="00B41D3D">
        <w:trPr>
          <w:trHeight w:val="266"/>
        </w:trPr>
        <w:tc>
          <w:tcPr>
            <w:tcW w:w="4472" w:type="dxa"/>
            <w:noWrap/>
            <w:vAlign w:val="bottom"/>
            <w:hideMark/>
          </w:tcPr>
          <w:p w14:paraId="317C704D"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Highest 20%</w:t>
            </w:r>
          </w:p>
        </w:tc>
        <w:tc>
          <w:tcPr>
            <w:tcW w:w="2011" w:type="dxa"/>
            <w:noWrap/>
            <w:vAlign w:val="bottom"/>
          </w:tcPr>
          <w:p w14:paraId="0DED03C8"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24 (13)</w:t>
            </w:r>
          </w:p>
        </w:tc>
        <w:tc>
          <w:tcPr>
            <w:tcW w:w="1546" w:type="dxa"/>
            <w:noWrap/>
            <w:vAlign w:val="bottom"/>
          </w:tcPr>
          <w:p w14:paraId="58B6BFE9" w14:textId="735A7A7A"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w:t>
            </w:r>
            <w:r w:rsidR="00834763">
              <w:rPr>
                <w:rFonts w:eastAsia="Times New Roman" w:cstheme="minorHAnsi"/>
                <w:sz w:val="20"/>
                <w:szCs w:val="20"/>
                <w:lang w:eastAsia="en-CA"/>
              </w:rPr>
              <w:t>(1)</w:t>
            </w:r>
          </w:p>
        </w:tc>
        <w:tc>
          <w:tcPr>
            <w:tcW w:w="1545" w:type="dxa"/>
            <w:noWrap/>
            <w:vAlign w:val="bottom"/>
          </w:tcPr>
          <w:p w14:paraId="75ED2695" w14:textId="1DA54A33"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23</w:t>
            </w:r>
            <w:r w:rsidR="00834763">
              <w:rPr>
                <w:rFonts w:eastAsia="Times New Roman" w:cstheme="minorHAnsi"/>
                <w:sz w:val="20"/>
                <w:szCs w:val="20"/>
                <w:lang w:eastAsia="en-CA"/>
              </w:rPr>
              <w:t>(23)</w:t>
            </w:r>
          </w:p>
        </w:tc>
        <w:tc>
          <w:tcPr>
            <w:tcW w:w="2261" w:type="dxa"/>
            <w:noWrap/>
            <w:vAlign w:val="bottom"/>
          </w:tcPr>
          <w:p w14:paraId="25EE1346"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23E1A400" w14:textId="77777777" w:rsidTr="00B41D3D">
        <w:trPr>
          <w:trHeight w:val="266"/>
        </w:trPr>
        <w:tc>
          <w:tcPr>
            <w:tcW w:w="4472" w:type="dxa"/>
            <w:noWrap/>
            <w:vAlign w:val="bottom"/>
          </w:tcPr>
          <w:p w14:paraId="1E4DDE55" w14:textId="77777777" w:rsidR="00B41D3D" w:rsidRPr="00E75CB3" w:rsidRDefault="00B41D3D" w:rsidP="00B41D3D">
            <w:pPr>
              <w:spacing w:after="0" w:line="240" w:lineRule="auto"/>
              <w:rPr>
                <w:rFonts w:eastAsia="Times New Roman" w:cstheme="minorHAnsi"/>
                <w:b/>
                <w:color w:val="000000"/>
                <w:sz w:val="20"/>
                <w:szCs w:val="20"/>
                <w:lang w:eastAsia="en-CA"/>
              </w:rPr>
            </w:pPr>
          </w:p>
          <w:p w14:paraId="2C572A49" w14:textId="77777777" w:rsidR="00B41D3D" w:rsidRPr="00E75CB3" w:rsidRDefault="00B41D3D" w:rsidP="00B41D3D">
            <w:pPr>
              <w:spacing w:after="0" w:line="240" w:lineRule="auto"/>
              <w:rPr>
                <w:rFonts w:eastAsia="Times New Roman" w:cstheme="minorHAnsi"/>
                <w:color w:val="000000"/>
                <w:sz w:val="20"/>
                <w:szCs w:val="20"/>
                <w:lang w:eastAsia="en-CA"/>
              </w:rPr>
            </w:pPr>
            <w:r w:rsidRPr="00E75CB3">
              <w:rPr>
                <w:rFonts w:eastAsia="Times New Roman" w:cstheme="minorHAnsi"/>
                <w:b/>
                <w:color w:val="000000"/>
                <w:sz w:val="20"/>
                <w:szCs w:val="20"/>
                <w:lang w:eastAsia="en-CA"/>
              </w:rPr>
              <w:t>Formal Employment</w:t>
            </w:r>
            <w:r w:rsidRPr="00E75CB3">
              <w:rPr>
                <w:rFonts w:eastAsia="Times New Roman" w:cstheme="minorHAnsi"/>
                <w:color w:val="000000"/>
                <w:sz w:val="20"/>
                <w:szCs w:val="20"/>
                <w:lang w:eastAsia="en-CA"/>
              </w:rPr>
              <w:t xml:space="preserve"> </w:t>
            </w:r>
          </w:p>
        </w:tc>
        <w:tc>
          <w:tcPr>
            <w:tcW w:w="2011" w:type="dxa"/>
            <w:noWrap/>
            <w:vAlign w:val="bottom"/>
          </w:tcPr>
          <w:p w14:paraId="26FE1055" w14:textId="77777777" w:rsidR="00B41D3D" w:rsidRPr="00E75CB3" w:rsidRDefault="00B41D3D" w:rsidP="00B41D3D">
            <w:pPr>
              <w:spacing w:line="240" w:lineRule="auto"/>
              <w:rPr>
                <w:rFonts w:eastAsia="Times New Roman" w:cstheme="minorHAnsi"/>
                <w:sz w:val="20"/>
                <w:szCs w:val="20"/>
                <w:lang w:eastAsia="en-CA"/>
              </w:rPr>
            </w:pPr>
          </w:p>
        </w:tc>
        <w:tc>
          <w:tcPr>
            <w:tcW w:w="1546" w:type="dxa"/>
            <w:noWrap/>
            <w:vAlign w:val="bottom"/>
          </w:tcPr>
          <w:p w14:paraId="7BC5503C" w14:textId="77777777" w:rsidR="00B41D3D" w:rsidRPr="00E75CB3" w:rsidRDefault="00B41D3D" w:rsidP="00B41D3D">
            <w:pPr>
              <w:spacing w:after="0" w:line="240" w:lineRule="auto"/>
              <w:rPr>
                <w:rFonts w:eastAsiaTheme="minorEastAsia"/>
                <w:sz w:val="20"/>
                <w:szCs w:val="20"/>
                <w:lang w:eastAsia="en-CA"/>
              </w:rPr>
            </w:pPr>
          </w:p>
        </w:tc>
        <w:tc>
          <w:tcPr>
            <w:tcW w:w="1545" w:type="dxa"/>
            <w:noWrap/>
            <w:vAlign w:val="bottom"/>
          </w:tcPr>
          <w:p w14:paraId="5BA41950" w14:textId="77777777" w:rsidR="00B41D3D" w:rsidRPr="00E75CB3" w:rsidRDefault="00B41D3D" w:rsidP="00B41D3D">
            <w:pPr>
              <w:spacing w:after="0" w:line="240" w:lineRule="auto"/>
              <w:rPr>
                <w:rFonts w:eastAsiaTheme="minorEastAsia"/>
                <w:sz w:val="20"/>
                <w:szCs w:val="20"/>
                <w:lang w:eastAsia="en-CA"/>
              </w:rPr>
            </w:pPr>
          </w:p>
        </w:tc>
        <w:tc>
          <w:tcPr>
            <w:tcW w:w="2261" w:type="dxa"/>
            <w:noWrap/>
            <w:vAlign w:val="bottom"/>
          </w:tcPr>
          <w:p w14:paraId="6587C01A" w14:textId="3BF5D457" w:rsidR="00B41D3D" w:rsidRPr="00E75CB3" w:rsidRDefault="00B41D3D" w:rsidP="00B41D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Courier New"/>
                <w:color w:val="000000"/>
                <w:sz w:val="20"/>
                <w:szCs w:val="20"/>
                <w:vertAlign w:val="superscript"/>
                <w:lang w:eastAsia="en-CA"/>
              </w:rPr>
            </w:pPr>
          </w:p>
        </w:tc>
      </w:tr>
      <w:tr w:rsidR="00B41D3D" w:rsidRPr="00E75CB3" w14:paraId="237565D8" w14:textId="77777777" w:rsidTr="00B41D3D">
        <w:trPr>
          <w:trHeight w:val="266"/>
        </w:trPr>
        <w:tc>
          <w:tcPr>
            <w:tcW w:w="4472" w:type="dxa"/>
            <w:noWrap/>
            <w:vAlign w:val="bottom"/>
            <w:hideMark/>
          </w:tcPr>
          <w:p w14:paraId="225D65D3"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Yes</w:t>
            </w:r>
          </w:p>
        </w:tc>
        <w:tc>
          <w:tcPr>
            <w:tcW w:w="2011" w:type="dxa"/>
            <w:noWrap/>
            <w:vAlign w:val="bottom"/>
          </w:tcPr>
          <w:p w14:paraId="7418109D"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19 (10)</w:t>
            </w:r>
          </w:p>
        </w:tc>
        <w:tc>
          <w:tcPr>
            <w:tcW w:w="1546" w:type="dxa"/>
            <w:noWrap/>
            <w:vAlign w:val="bottom"/>
          </w:tcPr>
          <w:p w14:paraId="5A424361" w14:textId="7184E991"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3</w:t>
            </w:r>
            <w:r w:rsidR="00834763">
              <w:rPr>
                <w:rFonts w:eastAsia="Times New Roman" w:cstheme="minorHAnsi"/>
                <w:sz w:val="20"/>
                <w:szCs w:val="20"/>
                <w:lang w:eastAsia="en-CA"/>
              </w:rPr>
              <w:t>(4)</w:t>
            </w:r>
          </w:p>
        </w:tc>
        <w:tc>
          <w:tcPr>
            <w:tcW w:w="1545" w:type="dxa"/>
            <w:noWrap/>
            <w:vAlign w:val="bottom"/>
          </w:tcPr>
          <w:p w14:paraId="3B1FD341" w14:textId="53B0702C"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16</w:t>
            </w:r>
            <w:r w:rsidR="00834763">
              <w:rPr>
                <w:rFonts w:eastAsia="Times New Roman" w:cstheme="minorHAnsi"/>
                <w:sz w:val="20"/>
                <w:szCs w:val="20"/>
                <w:lang w:eastAsia="en-CA"/>
              </w:rPr>
              <w:t>(16)</w:t>
            </w:r>
          </w:p>
        </w:tc>
        <w:tc>
          <w:tcPr>
            <w:tcW w:w="2261" w:type="dxa"/>
            <w:noWrap/>
            <w:vAlign w:val="center"/>
          </w:tcPr>
          <w:p w14:paraId="4EF8377C" w14:textId="3F52E9A6" w:rsidR="00B41D3D" w:rsidRPr="0009599C" w:rsidRDefault="00482F2D" w:rsidP="00DD0469">
            <w:pPr>
              <w:spacing w:after="0" w:line="276" w:lineRule="auto"/>
              <w:rPr>
                <w:rFonts w:eastAsia="Times New Roman" w:cstheme="minorHAnsi"/>
                <w:sz w:val="20"/>
                <w:szCs w:val="20"/>
                <w:vertAlign w:val="superscript"/>
                <w:lang w:eastAsia="en-CA"/>
              </w:rPr>
            </w:pPr>
            <w:r>
              <w:rPr>
                <w:rFonts w:eastAsia="Times New Roman" w:cstheme="minorHAnsi"/>
                <w:sz w:val="20"/>
                <w:szCs w:val="20"/>
                <w:lang w:eastAsia="en-CA"/>
              </w:rPr>
              <w:t>0.006</w:t>
            </w:r>
            <w:r w:rsidR="0009599C">
              <w:rPr>
                <w:rFonts w:eastAsia="Times New Roman" w:cstheme="minorHAnsi"/>
                <w:sz w:val="20"/>
                <w:szCs w:val="20"/>
                <w:vertAlign w:val="superscript"/>
                <w:lang w:eastAsia="en-CA"/>
              </w:rPr>
              <w:t>a</w:t>
            </w:r>
          </w:p>
        </w:tc>
      </w:tr>
      <w:tr w:rsidR="00B41D3D" w:rsidRPr="00E75CB3" w14:paraId="78E426F1" w14:textId="77777777" w:rsidTr="00B41D3D">
        <w:trPr>
          <w:trHeight w:val="266"/>
        </w:trPr>
        <w:tc>
          <w:tcPr>
            <w:tcW w:w="4472" w:type="dxa"/>
            <w:noWrap/>
            <w:vAlign w:val="bottom"/>
            <w:hideMark/>
          </w:tcPr>
          <w:p w14:paraId="69D0C21E"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No</w:t>
            </w:r>
          </w:p>
        </w:tc>
        <w:tc>
          <w:tcPr>
            <w:tcW w:w="2011" w:type="dxa"/>
            <w:noWrap/>
            <w:vAlign w:val="bottom"/>
          </w:tcPr>
          <w:p w14:paraId="08B3F103"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166 (90)</w:t>
            </w:r>
          </w:p>
        </w:tc>
        <w:tc>
          <w:tcPr>
            <w:tcW w:w="1546" w:type="dxa"/>
            <w:noWrap/>
            <w:vAlign w:val="bottom"/>
          </w:tcPr>
          <w:p w14:paraId="7A31BA15" w14:textId="17FCD1C1"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81</w:t>
            </w:r>
            <w:r w:rsidR="00834763">
              <w:rPr>
                <w:rFonts w:eastAsia="Times New Roman" w:cstheme="minorHAnsi"/>
                <w:sz w:val="20"/>
                <w:szCs w:val="20"/>
                <w:lang w:eastAsia="en-CA"/>
              </w:rPr>
              <w:t>(96)</w:t>
            </w:r>
          </w:p>
        </w:tc>
        <w:tc>
          <w:tcPr>
            <w:tcW w:w="1545" w:type="dxa"/>
            <w:noWrap/>
            <w:vAlign w:val="bottom"/>
          </w:tcPr>
          <w:p w14:paraId="60BCA818" w14:textId="6F384A7D"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85</w:t>
            </w:r>
            <w:r w:rsidR="00834763">
              <w:rPr>
                <w:rFonts w:eastAsia="Times New Roman" w:cstheme="minorHAnsi"/>
                <w:sz w:val="20"/>
                <w:szCs w:val="20"/>
                <w:lang w:eastAsia="en-CA"/>
              </w:rPr>
              <w:t>(84)</w:t>
            </w:r>
          </w:p>
        </w:tc>
        <w:tc>
          <w:tcPr>
            <w:tcW w:w="2261" w:type="dxa"/>
            <w:noWrap/>
            <w:vAlign w:val="bottom"/>
          </w:tcPr>
          <w:p w14:paraId="40899349"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76A4CBED" w14:textId="77777777" w:rsidTr="00B41D3D">
        <w:trPr>
          <w:trHeight w:val="266"/>
        </w:trPr>
        <w:tc>
          <w:tcPr>
            <w:tcW w:w="4472" w:type="dxa"/>
            <w:noWrap/>
            <w:vAlign w:val="bottom"/>
          </w:tcPr>
          <w:p w14:paraId="63B6DA11" w14:textId="77777777" w:rsidR="00B41D3D" w:rsidRPr="00E75CB3" w:rsidRDefault="00B41D3D" w:rsidP="00B41D3D">
            <w:pPr>
              <w:spacing w:after="0" w:line="240" w:lineRule="auto"/>
              <w:rPr>
                <w:rFonts w:eastAsia="Times New Roman" w:cstheme="minorHAnsi"/>
                <w:color w:val="000000"/>
                <w:sz w:val="20"/>
                <w:szCs w:val="20"/>
                <w:lang w:eastAsia="en-CA"/>
              </w:rPr>
            </w:pPr>
          </w:p>
          <w:p w14:paraId="78D8BB61" w14:textId="77777777" w:rsidR="00B41D3D" w:rsidRPr="00E75CB3" w:rsidRDefault="00B41D3D" w:rsidP="00B41D3D">
            <w:pPr>
              <w:spacing w:after="0" w:line="240" w:lineRule="auto"/>
              <w:rPr>
                <w:rFonts w:eastAsia="Times New Roman" w:cstheme="minorHAnsi"/>
                <w:b/>
                <w:color w:val="000000"/>
                <w:sz w:val="20"/>
                <w:szCs w:val="20"/>
                <w:lang w:eastAsia="en-CA"/>
              </w:rPr>
            </w:pPr>
            <w:r w:rsidRPr="00E75CB3">
              <w:rPr>
                <w:rFonts w:eastAsia="Times New Roman" w:cstheme="minorHAnsi"/>
                <w:b/>
                <w:color w:val="000000"/>
                <w:sz w:val="20"/>
                <w:szCs w:val="20"/>
                <w:lang w:eastAsia="en-CA"/>
              </w:rPr>
              <w:t xml:space="preserve">Ethnicity </w:t>
            </w:r>
          </w:p>
        </w:tc>
        <w:tc>
          <w:tcPr>
            <w:tcW w:w="2011" w:type="dxa"/>
            <w:noWrap/>
            <w:vAlign w:val="bottom"/>
          </w:tcPr>
          <w:p w14:paraId="2D996616" w14:textId="77777777" w:rsidR="00B41D3D" w:rsidRPr="00E75CB3" w:rsidRDefault="00B41D3D" w:rsidP="00B41D3D">
            <w:pPr>
              <w:spacing w:line="240" w:lineRule="auto"/>
              <w:rPr>
                <w:rFonts w:eastAsia="Times New Roman" w:cstheme="minorHAnsi"/>
                <w:b/>
                <w:sz w:val="20"/>
                <w:szCs w:val="20"/>
                <w:lang w:eastAsia="en-CA"/>
              </w:rPr>
            </w:pPr>
          </w:p>
        </w:tc>
        <w:tc>
          <w:tcPr>
            <w:tcW w:w="1546" w:type="dxa"/>
            <w:noWrap/>
            <w:vAlign w:val="bottom"/>
          </w:tcPr>
          <w:p w14:paraId="70EE188E" w14:textId="77777777" w:rsidR="00B41D3D" w:rsidRPr="00E75CB3" w:rsidRDefault="00B41D3D" w:rsidP="00B41D3D">
            <w:pPr>
              <w:spacing w:after="0" w:line="240" w:lineRule="auto"/>
              <w:rPr>
                <w:rFonts w:eastAsiaTheme="minorEastAsia"/>
                <w:sz w:val="20"/>
                <w:szCs w:val="20"/>
                <w:lang w:eastAsia="en-CA"/>
              </w:rPr>
            </w:pPr>
          </w:p>
        </w:tc>
        <w:tc>
          <w:tcPr>
            <w:tcW w:w="1545" w:type="dxa"/>
            <w:noWrap/>
            <w:vAlign w:val="bottom"/>
          </w:tcPr>
          <w:p w14:paraId="7930F31F" w14:textId="77777777" w:rsidR="00B41D3D" w:rsidRPr="00E75CB3" w:rsidRDefault="00B41D3D" w:rsidP="00B41D3D">
            <w:pPr>
              <w:spacing w:after="0" w:line="240" w:lineRule="auto"/>
              <w:rPr>
                <w:rFonts w:eastAsiaTheme="minorEastAsia"/>
                <w:sz w:val="20"/>
                <w:szCs w:val="20"/>
                <w:lang w:eastAsia="en-CA"/>
              </w:rPr>
            </w:pPr>
          </w:p>
        </w:tc>
        <w:tc>
          <w:tcPr>
            <w:tcW w:w="2261" w:type="dxa"/>
            <w:noWrap/>
            <w:vAlign w:val="bottom"/>
          </w:tcPr>
          <w:p w14:paraId="27655CC5" w14:textId="320DA5E4" w:rsidR="00B41D3D" w:rsidRPr="00E75CB3" w:rsidRDefault="00B41D3D" w:rsidP="00B41D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Courier New"/>
                <w:color w:val="000000"/>
                <w:sz w:val="20"/>
                <w:szCs w:val="20"/>
                <w:lang w:eastAsia="en-CA"/>
              </w:rPr>
            </w:pPr>
          </w:p>
        </w:tc>
      </w:tr>
      <w:tr w:rsidR="00B41D3D" w:rsidRPr="00E75CB3" w14:paraId="18697DDB" w14:textId="77777777" w:rsidTr="00B41D3D">
        <w:trPr>
          <w:trHeight w:val="266"/>
        </w:trPr>
        <w:tc>
          <w:tcPr>
            <w:tcW w:w="4472" w:type="dxa"/>
            <w:noWrap/>
            <w:vAlign w:val="bottom"/>
            <w:hideMark/>
          </w:tcPr>
          <w:p w14:paraId="2B30458D"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Akan</w:t>
            </w:r>
          </w:p>
        </w:tc>
        <w:tc>
          <w:tcPr>
            <w:tcW w:w="2011" w:type="dxa"/>
            <w:noWrap/>
            <w:vAlign w:val="bottom"/>
          </w:tcPr>
          <w:p w14:paraId="75E8EED6"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64 (35)</w:t>
            </w:r>
          </w:p>
        </w:tc>
        <w:tc>
          <w:tcPr>
            <w:tcW w:w="1546" w:type="dxa"/>
            <w:noWrap/>
            <w:vAlign w:val="bottom"/>
          </w:tcPr>
          <w:p w14:paraId="041F85ED" w14:textId="7DF2A28F"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24</w:t>
            </w:r>
            <w:r w:rsidR="00834763">
              <w:rPr>
                <w:rFonts w:eastAsia="Times New Roman" w:cstheme="minorHAnsi"/>
                <w:sz w:val="20"/>
                <w:szCs w:val="20"/>
                <w:lang w:eastAsia="en-CA"/>
              </w:rPr>
              <w:t>(29)</w:t>
            </w:r>
          </w:p>
        </w:tc>
        <w:tc>
          <w:tcPr>
            <w:tcW w:w="1545" w:type="dxa"/>
            <w:noWrap/>
            <w:vAlign w:val="bottom"/>
          </w:tcPr>
          <w:p w14:paraId="48618414" w14:textId="56BB5358"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40</w:t>
            </w:r>
            <w:r w:rsidR="00D20576">
              <w:rPr>
                <w:rFonts w:eastAsia="Times New Roman" w:cstheme="minorHAnsi"/>
                <w:sz w:val="20"/>
                <w:szCs w:val="20"/>
                <w:lang w:eastAsia="en-CA"/>
              </w:rPr>
              <w:t>(40)</w:t>
            </w:r>
          </w:p>
        </w:tc>
        <w:tc>
          <w:tcPr>
            <w:tcW w:w="2261" w:type="dxa"/>
            <w:noWrap/>
            <w:vAlign w:val="bottom"/>
          </w:tcPr>
          <w:p w14:paraId="6014C8D5"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50F2D501" w14:textId="77777777" w:rsidTr="00B41D3D">
        <w:trPr>
          <w:trHeight w:val="266"/>
        </w:trPr>
        <w:tc>
          <w:tcPr>
            <w:tcW w:w="4472" w:type="dxa"/>
            <w:noWrap/>
            <w:vAlign w:val="bottom"/>
            <w:hideMark/>
          </w:tcPr>
          <w:p w14:paraId="220DF24F"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Hausa</w:t>
            </w:r>
          </w:p>
        </w:tc>
        <w:tc>
          <w:tcPr>
            <w:tcW w:w="2011" w:type="dxa"/>
            <w:noWrap/>
            <w:vAlign w:val="bottom"/>
          </w:tcPr>
          <w:p w14:paraId="0C157993"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36 (19)</w:t>
            </w:r>
          </w:p>
        </w:tc>
        <w:tc>
          <w:tcPr>
            <w:tcW w:w="1546" w:type="dxa"/>
            <w:noWrap/>
            <w:vAlign w:val="bottom"/>
          </w:tcPr>
          <w:p w14:paraId="2EE5AAB6" w14:textId="5491F181"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18</w:t>
            </w:r>
            <w:r w:rsidR="00834763">
              <w:rPr>
                <w:rFonts w:eastAsia="Times New Roman" w:cstheme="minorHAnsi"/>
                <w:sz w:val="20"/>
                <w:szCs w:val="20"/>
                <w:lang w:eastAsia="en-CA"/>
              </w:rPr>
              <w:t>(21)</w:t>
            </w:r>
          </w:p>
        </w:tc>
        <w:tc>
          <w:tcPr>
            <w:tcW w:w="1545" w:type="dxa"/>
            <w:noWrap/>
            <w:vAlign w:val="bottom"/>
          </w:tcPr>
          <w:p w14:paraId="3BD2C556" w14:textId="0D64DE8A"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18</w:t>
            </w:r>
            <w:r w:rsidR="00D20576">
              <w:rPr>
                <w:rFonts w:eastAsia="Times New Roman" w:cstheme="minorHAnsi"/>
                <w:sz w:val="20"/>
                <w:szCs w:val="20"/>
                <w:lang w:eastAsia="en-CA"/>
              </w:rPr>
              <w:t>(18)</w:t>
            </w:r>
          </w:p>
        </w:tc>
        <w:tc>
          <w:tcPr>
            <w:tcW w:w="2261" w:type="dxa"/>
            <w:noWrap/>
            <w:vAlign w:val="bottom"/>
          </w:tcPr>
          <w:p w14:paraId="1FE93715"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5ADFB0BC" w14:textId="77777777" w:rsidTr="00B41D3D">
        <w:trPr>
          <w:trHeight w:val="266"/>
        </w:trPr>
        <w:tc>
          <w:tcPr>
            <w:tcW w:w="4472" w:type="dxa"/>
            <w:noWrap/>
            <w:vAlign w:val="bottom"/>
            <w:hideMark/>
          </w:tcPr>
          <w:p w14:paraId="0EE25FEF"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Ewe</w:t>
            </w:r>
          </w:p>
        </w:tc>
        <w:tc>
          <w:tcPr>
            <w:tcW w:w="2011" w:type="dxa"/>
            <w:noWrap/>
            <w:vAlign w:val="bottom"/>
          </w:tcPr>
          <w:p w14:paraId="1D86FBC3"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42 (23)</w:t>
            </w:r>
          </w:p>
        </w:tc>
        <w:tc>
          <w:tcPr>
            <w:tcW w:w="1546" w:type="dxa"/>
            <w:noWrap/>
            <w:vAlign w:val="bottom"/>
          </w:tcPr>
          <w:p w14:paraId="5E753A8F" w14:textId="00FC1F98"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18</w:t>
            </w:r>
            <w:r w:rsidR="00834763">
              <w:rPr>
                <w:rFonts w:eastAsia="Times New Roman" w:cstheme="minorHAnsi"/>
                <w:sz w:val="20"/>
                <w:szCs w:val="20"/>
                <w:lang w:eastAsia="en-CA"/>
              </w:rPr>
              <w:t>(21)</w:t>
            </w:r>
          </w:p>
        </w:tc>
        <w:tc>
          <w:tcPr>
            <w:tcW w:w="1545" w:type="dxa"/>
            <w:noWrap/>
            <w:vAlign w:val="bottom"/>
          </w:tcPr>
          <w:p w14:paraId="52546E2B" w14:textId="70E55048"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24</w:t>
            </w:r>
            <w:r w:rsidR="00D20576">
              <w:rPr>
                <w:rFonts w:eastAsia="Times New Roman" w:cstheme="minorHAnsi"/>
                <w:sz w:val="20"/>
                <w:szCs w:val="20"/>
                <w:lang w:eastAsia="en-CA"/>
              </w:rPr>
              <w:t>(24)</w:t>
            </w:r>
          </w:p>
        </w:tc>
        <w:tc>
          <w:tcPr>
            <w:tcW w:w="2261" w:type="dxa"/>
            <w:noWrap/>
            <w:vAlign w:val="bottom"/>
          </w:tcPr>
          <w:p w14:paraId="0C1348E2"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70C7D578" w14:textId="77777777" w:rsidTr="00B41D3D">
        <w:trPr>
          <w:trHeight w:val="266"/>
        </w:trPr>
        <w:tc>
          <w:tcPr>
            <w:tcW w:w="4472" w:type="dxa"/>
            <w:noWrap/>
            <w:vAlign w:val="bottom"/>
            <w:hideMark/>
          </w:tcPr>
          <w:p w14:paraId="528C03B2" w14:textId="77777777" w:rsidR="00B41D3D" w:rsidRPr="00E75CB3" w:rsidRDefault="00B41D3D" w:rsidP="00B41D3D">
            <w:pPr>
              <w:spacing w:after="0" w:line="276" w:lineRule="auto"/>
              <w:rPr>
                <w:rFonts w:eastAsia="Times New Roman" w:cstheme="minorHAnsi"/>
                <w:color w:val="000000"/>
                <w:sz w:val="20"/>
                <w:szCs w:val="20"/>
                <w:lang w:eastAsia="en-CA"/>
              </w:rPr>
            </w:pPr>
            <w:proofErr w:type="spellStart"/>
            <w:r w:rsidRPr="00E75CB3">
              <w:rPr>
                <w:rFonts w:eastAsia="Times New Roman" w:cstheme="minorHAnsi"/>
                <w:color w:val="000000"/>
                <w:sz w:val="20"/>
                <w:szCs w:val="20"/>
                <w:lang w:eastAsia="en-CA"/>
              </w:rPr>
              <w:t>Ga,Ga</w:t>
            </w:r>
            <w:proofErr w:type="spellEnd"/>
            <w:r w:rsidRPr="00E75CB3">
              <w:rPr>
                <w:rFonts w:eastAsia="Times New Roman" w:cstheme="minorHAnsi"/>
                <w:color w:val="000000"/>
                <w:sz w:val="20"/>
                <w:szCs w:val="20"/>
                <w:lang w:eastAsia="en-CA"/>
              </w:rPr>
              <w:t>-Dangme</w:t>
            </w:r>
          </w:p>
        </w:tc>
        <w:tc>
          <w:tcPr>
            <w:tcW w:w="2011" w:type="dxa"/>
            <w:noWrap/>
            <w:vAlign w:val="bottom"/>
          </w:tcPr>
          <w:p w14:paraId="6076B6FA"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14 (8)</w:t>
            </w:r>
          </w:p>
        </w:tc>
        <w:tc>
          <w:tcPr>
            <w:tcW w:w="1546" w:type="dxa"/>
            <w:noWrap/>
            <w:vAlign w:val="bottom"/>
          </w:tcPr>
          <w:p w14:paraId="45568390" w14:textId="1542F627"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7</w:t>
            </w:r>
            <w:r w:rsidR="00D20576">
              <w:rPr>
                <w:rFonts w:eastAsia="Times New Roman" w:cstheme="minorHAnsi"/>
                <w:sz w:val="20"/>
                <w:szCs w:val="20"/>
                <w:lang w:eastAsia="en-CA"/>
              </w:rPr>
              <w:t>(8)</w:t>
            </w:r>
          </w:p>
        </w:tc>
        <w:tc>
          <w:tcPr>
            <w:tcW w:w="1545" w:type="dxa"/>
            <w:noWrap/>
            <w:vAlign w:val="bottom"/>
          </w:tcPr>
          <w:p w14:paraId="230216FD" w14:textId="45E009E0"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7</w:t>
            </w:r>
            <w:r w:rsidR="00D20576">
              <w:rPr>
                <w:rFonts w:eastAsia="Times New Roman" w:cstheme="minorHAnsi"/>
                <w:sz w:val="20"/>
                <w:szCs w:val="20"/>
                <w:lang w:eastAsia="en-CA"/>
              </w:rPr>
              <w:t>(7)</w:t>
            </w:r>
          </w:p>
        </w:tc>
        <w:tc>
          <w:tcPr>
            <w:tcW w:w="2261" w:type="dxa"/>
            <w:noWrap/>
            <w:vAlign w:val="bottom"/>
          </w:tcPr>
          <w:p w14:paraId="22389C10"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5DDA1C71" w14:textId="77777777" w:rsidTr="00B41D3D">
        <w:trPr>
          <w:trHeight w:val="266"/>
        </w:trPr>
        <w:tc>
          <w:tcPr>
            <w:tcW w:w="4472" w:type="dxa"/>
            <w:noWrap/>
            <w:vAlign w:val="bottom"/>
            <w:hideMark/>
          </w:tcPr>
          <w:p w14:paraId="3D555D9F" w14:textId="77777777" w:rsidR="00B41D3D" w:rsidRPr="00E75CB3" w:rsidRDefault="00B41D3D" w:rsidP="00B41D3D">
            <w:pPr>
              <w:spacing w:after="0" w:line="276" w:lineRule="auto"/>
              <w:rPr>
                <w:rFonts w:eastAsia="Times New Roman" w:cstheme="minorHAnsi"/>
                <w:color w:val="000000"/>
                <w:sz w:val="20"/>
                <w:szCs w:val="20"/>
                <w:lang w:eastAsia="en-CA"/>
              </w:rPr>
            </w:pPr>
            <w:proofErr w:type="spellStart"/>
            <w:r w:rsidRPr="00E75CB3">
              <w:rPr>
                <w:rFonts w:eastAsia="Times New Roman" w:cstheme="minorHAnsi"/>
                <w:color w:val="000000"/>
                <w:sz w:val="20"/>
                <w:szCs w:val="20"/>
                <w:lang w:eastAsia="en-CA"/>
              </w:rPr>
              <w:t>Mole,Dagbon,Gonia,Other</w:t>
            </w:r>
            <w:proofErr w:type="spellEnd"/>
          </w:p>
        </w:tc>
        <w:tc>
          <w:tcPr>
            <w:tcW w:w="2011" w:type="dxa"/>
            <w:noWrap/>
            <w:vAlign w:val="bottom"/>
          </w:tcPr>
          <w:p w14:paraId="0EF56E83"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29 (16)</w:t>
            </w:r>
          </w:p>
        </w:tc>
        <w:tc>
          <w:tcPr>
            <w:tcW w:w="1546" w:type="dxa"/>
            <w:noWrap/>
            <w:vAlign w:val="bottom"/>
          </w:tcPr>
          <w:p w14:paraId="789D5195" w14:textId="66868E8D"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17</w:t>
            </w:r>
            <w:r w:rsidR="00D20576">
              <w:rPr>
                <w:rFonts w:eastAsia="Times New Roman" w:cstheme="minorHAnsi"/>
                <w:sz w:val="20"/>
                <w:szCs w:val="20"/>
                <w:lang w:eastAsia="en-CA"/>
              </w:rPr>
              <w:t>(20)</w:t>
            </w:r>
          </w:p>
        </w:tc>
        <w:tc>
          <w:tcPr>
            <w:tcW w:w="1545" w:type="dxa"/>
            <w:noWrap/>
            <w:vAlign w:val="bottom"/>
          </w:tcPr>
          <w:p w14:paraId="464FB199" w14:textId="2051B824"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12</w:t>
            </w:r>
            <w:r w:rsidR="00D20576">
              <w:rPr>
                <w:rFonts w:eastAsia="Times New Roman" w:cstheme="minorHAnsi"/>
                <w:sz w:val="20"/>
                <w:szCs w:val="20"/>
                <w:lang w:eastAsia="en-CA"/>
              </w:rPr>
              <w:t>(12)</w:t>
            </w:r>
          </w:p>
        </w:tc>
        <w:tc>
          <w:tcPr>
            <w:tcW w:w="2261" w:type="dxa"/>
            <w:noWrap/>
            <w:vAlign w:val="bottom"/>
          </w:tcPr>
          <w:p w14:paraId="7A5D06C8"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4A9CAD6B" w14:textId="77777777" w:rsidTr="00B41D3D">
        <w:trPr>
          <w:trHeight w:val="266"/>
        </w:trPr>
        <w:tc>
          <w:tcPr>
            <w:tcW w:w="4472" w:type="dxa"/>
            <w:noWrap/>
            <w:vAlign w:val="bottom"/>
          </w:tcPr>
          <w:p w14:paraId="13820993" w14:textId="77777777" w:rsidR="00B41D3D" w:rsidRPr="00E75CB3" w:rsidRDefault="00B41D3D" w:rsidP="00B41D3D">
            <w:pPr>
              <w:spacing w:after="0" w:line="240" w:lineRule="auto"/>
              <w:rPr>
                <w:rFonts w:eastAsia="Times New Roman" w:cstheme="minorHAnsi"/>
                <w:color w:val="000000"/>
                <w:sz w:val="20"/>
                <w:szCs w:val="20"/>
                <w:lang w:eastAsia="en-CA"/>
              </w:rPr>
            </w:pPr>
          </w:p>
          <w:p w14:paraId="7EB5FCCD" w14:textId="77777777" w:rsidR="00B41D3D" w:rsidRPr="00E75CB3" w:rsidRDefault="00B41D3D" w:rsidP="00B41D3D">
            <w:pPr>
              <w:spacing w:after="0" w:line="240" w:lineRule="auto"/>
              <w:rPr>
                <w:rFonts w:eastAsia="Times New Roman" w:cstheme="minorHAnsi"/>
                <w:b/>
                <w:color w:val="000000"/>
                <w:sz w:val="20"/>
                <w:szCs w:val="20"/>
                <w:lang w:eastAsia="en-CA"/>
              </w:rPr>
            </w:pPr>
            <w:r w:rsidRPr="00E75CB3">
              <w:rPr>
                <w:rFonts w:eastAsia="Times New Roman" w:cstheme="minorHAnsi"/>
                <w:b/>
                <w:color w:val="000000"/>
                <w:sz w:val="20"/>
                <w:szCs w:val="20"/>
                <w:lang w:eastAsia="en-CA"/>
              </w:rPr>
              <w:t xml:space="preserve">Parity </w:t>
            </w:r>
          </w:p>
        </w:tc>
        <w:tc>
          <w:tcPr>
            <w:tcW w:w="2011" w:type="dxa"/>
            <w:noWrap/>
            <w:vAlign w:val="bottom"/>
          </w:tcPr>
          <w:p w14:paraId="26B051B7" w14:textId="77777777" w:rsidR="00B41D3D" w:rsidRPr="00E75CB3" w:rsidRDefault="00B41D3D" w:rsidP="00B41D3D">
            <w:pPr>
              <w:spacing w:line="240" w:lineRule="auto"/>
              <w:rPr>
                <w:rFonts w:eastAsia="Times New Roman" w:cstheme="minorHAnsi"/>
                <w:b/>
                <w:color w:val="000000"/>
                <w:sz w:val="20"/>
                <w:szCs w:val="20"/>
                <w:lang w:eastAsia="en-CA"/>
              </w:rPr>
            </w:pPr>
          </w:p>
        </w:tc>
        <w:tc>
          <w:tcPr>
            <w:tcW w:w="1546" w:type="dxa"/>
            <w:noWrap/>
            <w:vAlign w:val="bottom"/>
          </w:tcPr>
          <w:p w14:paraId="553B9C17" w14:textId="77777777" w:rsidR="00B41D3D" w:rsidRPr="00E75CB3" w:rsidRDefault="00B41D3D" w:rsidP="00B41D3D">
            <w:pPr>
              <w:spacing w:after="0" w:line="240" w:lineRule="auto"/>
              <w:rPr>
                <w:rFonts w:eastAsiaTheme="minorEastAsia"/>
                <w:sz w:val="20"/>
                <w:szCs w:val="20"/>
                <w:lang w:eastAsia="en-CA"/>
              </w:rPr>
            </w:pPr>
          </w:p>
        </w:tc>
        <w:tc>
          <w:tcPr>
            <w:tcW w:w="1545" w:type="dxa"/>
            <w:noWrap/>
            <w:vAlign w:val="bottom"/>
          </w:tcPr>
          <w:p w14:paraId="6AE00A8D" w14:textId="77777777" w:rsidR="00B41D3D" w:rsidRPr="00E75CB3" w:rsidRDefault="00B41D3D" w:rsidP="00B41D3D">
            <w:pPr>
              <w:spacing w:after="0" w:line="240" w:lineRule="auto"/>
              <w:rPr>
                <w:rFonts w:eastAsiaTheme="minorEastAsia"/>
                <w:sz w:val="20"/>
                <w:szCs w:val="20"/>
                <w:lang w:eastAsia="en-CA"/>
              </w:rPr>
            </w:pPr>
          </w:p>
        </w:tc>
        <w:tc>
          <w:tcPr>
            <w:tcW w:w="2261" w:type="dxa"/>
            <w:noWrap/>
            <w:vAlign w:val="bottom"/>
          </w:tcPr>
          <w:p w14:paraId="3001A827" w14:textId="6ADA5853" w:rsidR="00B41D3D" w:rsidRPr="0009599C" w:rsidRDefault="00482F2D" w:rsidP="00B41D3D">
            <w:pPr>
              <w:spacing w:after="0" w:line="240" w:lineRule="auto"/>
              <w:rPr>
                <w:rFonts w:eastAsia="Times New Roman" w:cstheme="minorHAnsi"/>
                <w:sz w:val="20"/>
                <w:szCs w:val="20"/>
                <w:vertAlign w:val="superscript"/>
                <w:lang w:eastAsia="en-CA"/>
              </w:rPr>
            </w:pPr>
            <w:r>
              <w:rPr>
                <w:rFonts w:eastAsia="Times New Roman" w:cstheme="minorHAnsi"/>
                <w:sz w:val="20"/>
                <w:szCs w:val="20"/>
                <w:lang w:eastAsia="en-CA"/>
              </w:rPr>
              <w:t>0.55</w:t>
            </w:r>
            <w:r w:rsidR="0009599C">
              <w:rPr>
                <w:rFonts w:eastAsia="Times New Roman" w:cstheme="minorHAnsi"/>
                <w:sz w:val="20"/>
                <w:szCs w:val="20"/>
                <w:vertAlign w:val="superscript"/>
                <w:lang w:eastAsia="en-CA"/>
              </w:rPr>
              <w:t>b</w:t>
            </w:r>
          </w:p>
        </w:tc>
      </w:tr>
      <w:tr w:rsidR="00B41D3D" w:rsidRPr="00E75CB3" w14:paraId="44FB08B2" w14:textId="77777777" w:rsidTr="00B41D3D">
        <w:trPr>
          <w:trHeight w:val="266"/>
        </w:trPr>
        <w:tc>
          <w:tcPr>
            <w:tcW w:w="4472" w:type="dxa"/>
            <w:noWrap/>
            <w:vAlign w:val="bottom"/>
            <w:hideMark/>
          </w:tcPr>
          <w:p w14:paraId="77B5C61F"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0-1</w:t>
            </w:r>
          </w:p>
        </w:tc>
        <w:tc>
          <w:tcPr>
            <w:tcW w:w="2011" w:type="dxa"/>
            <w:noWrap/>
            <w:vAlign w:val="bottom"/>
          </w:tcPr>
          <w:p w14:paraId="137E94D1"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147 (79)</w:t>
            </w:r>
          </w:p>
        </w:tc>
        <w:tc>
          <w:tcPr>
            <w:tcW w:w="1546" w:type="dxa"/>
            <w:noWrap/>
            <w:vAlign w:val="bottom"/>
          </w:tcPr>
          <w:p w14:paraId="7A1FCBA5" w14:textId="12B93348"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66</w:t>
            </w:r>
            <w:r w:rsidR="00D20576">
              <w:rPr>
                <w:rFonts w:eastAsia="Times New Roman" w:cstheme="minorHAnsi"/>
                <w:sz w:val="20"/>
                <w:szCs w:val="20"/>
                <w:lang w:eastAsia="en-CA"/>
              </w:rPr>
              <w:t>(78)</w:t>
            </w:r>
          </w:p>
        </w:tc>
        <w:tc>
          <w:tcPr>
            <w:tcW w:w="1545" w:type="dxa"/>
            <w:noWrap/>
            <w:vAlign w:val="bottom"/>
          </w:tcPr>
          <w:p w14:paraId="30D48236" w14:textId="4A09A0DA"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81</w:t>
            </w:r>
            <w:r w:rsidR="00D20576">
              <w:rPr>
                <w:rFonts w:eastAsia="Times New Roman" w:cstheme="minorHAnsi"/>
                <w:sz w:val="20"/>
                <w:szCs w:val="20"/>
                <w:lang w:eastAsia="en-CA"/>
              </w:rPr>
              <w:t>(80)</w:t>
            </w:r>
          </w:p>
        </w:tc>
        <w:tc>
          <w:tcPr>
            <w:tcW w:w="2261" w:type="dxa"/>
            <w:noWrap/>
            <w:vAlign w:val="bottom"/>
          </w:tcPr>
          <w:p w14:paraId="63942277" w14:textId="77777777" w:rsidR="00B41D3D" w:rsidRPr="00E75CB3" w:rsidRDefault="00B41D3D" w:rsidP="00B41D3D">
            <w:pPr>
              <w:spacing w:line="276" w:lineRule="auto"/>
              <w:rPr>
                <w:rFonts w:eastAsia="Times New Roman" w:cstheme="minorHAnsi"/>
                <w:color w:val="FF0000"/>
                <w:sz w:val="20"/>
                <w:szCs w:val="20"/>
                <w:lang w:eastAsia="en-CA"/>
              </w:rPr>
            </w:pPr>
          </w:p>
        </w:tc>
      </w:tr>
      <w:tr w:rsidR="00B41D3D" w:rsidRPr="00E75CB3" w14:paraId="06A7CA3C" w14:textId="77777777" w:rsidTr="00B41D3D">
        <w:trPr>
          <w:trHeight w:val="266"/>
        </w:trPr>
        <w:tc>
          <w:tcPr>
            <w:tcW w:w="4472" w:type="dxa"/>
            <w:noWrap/>
            <w:vAlign w:val="bottom"/>
            <w:hideMark/>
          </w:tcPr>
          <w:p w14:paraId="6D8969DB"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t>2-3</w:t>
            </w:r>
          </w:p>
        </w:tc>
        <w:tc>
          <w:tcPr>
            <w:tcW w:w="2011" w:type="dxa"/>
            <w:noWrap/>
            <w:vAlign w:val="bottom"/>
          </w:tcPr>
          <w:p w14:paraId="4BAEE48E"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34 (18)</w:t>
            </w:r>
          </w:p>
        </w:tc>
        <w:tc>
          <w:tcPr>
            <w:tcW w:w="1546" w:type="dxa"/>
            <w:noWrap/>
            <w:vAlign w:val="bottom"/>
          </w:tcPr>
          <w:p w14:paraId="0F82E7F1" w14:textId="2228F493"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15</w:t>
            </w:r>
            <w:r w:rsidR="00D20576">
              <w:rPr>
                <w:rFonts w:eastAsia="Times New Roman" w:cstheme="minorHAnsi"/>
                <w:sz w:val="20"/>
                <w:szCs w:val="20"/>
                <w:lang w:eastAsia="en-CA"/>
              </w:rPr>
              <w:t>(18)</w:t>
            </w:r>
          </w:p>
        </w:tc>
        <w:tc>
          <w:tcPr>
            <w:tcW w:w="1545" w:type="dxa"/>
            <w:noWrap/>
            <w:vAlign w:val="bottom"/>
          </w:tcPr>
          <w:p w14:paraId="2C08BF8D" w14:textId="6FFB463F" w:rsidR="00B41D3D" w:rsidRPr="00E75CB3" w:rsidRDefault="00482F2D" w:rsidP="00B41D3D">
            <w:pPr>
              <w:spacing w:after="0" w:line="276" w:lineRule="auto"/>
              <w:rPr>
                <w:rFonts w:eastAsia="Times New Roman" w:cstheme="minorHAnsi"/>
                <w:sz w:val="20"/>
                <w:szCs w:val="20"/>
                <w:lang w:eastAsia="en-CA"/>
              </w:rPr>
            </w:pPr>
            <w:r>
              <w:rPr>
                <w:rFonts w:eastAsia="Times New Roman" w:cstheme="minorHAnsi"/>
                <w:sz w:val="20"/>
                <w:szCs w:val="20"/>
                <w:lang w:eastAsia="en-CA"/>
              </w:rPr>
              <w:t>19</w:t>
            </w:r>
            <w:r w:rsidR="00D20576">
              <w:rPr>
                <w:rFonts w:eastAsia="Times New Roman" w:cstheme="minorHAnsi"/>
                <w:sz w:val="20"/>
                <w:szCs w:val="20"/>
                <w:lang w:eastAsia="en-CA"/>
              </w:rPr>
              <w:t>(19)</w:t>
            </w:r>
          </w:p>
        </w:tc>
        <w:tc>
          <w:tcPr>
            <w:tcW w:w="2261" w:type="dxa"/>
            <w:noWrap/>
            <w:vAlign w:val="bottom"/>
          </w:tcPr>
          <w:p w14:paraId="66A94422"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238B27C6" w14:textId="77777777" w:rsidTr="00B41D3D">
        <w:trPr>
          <w:trHeight w:val="266"/>
        </w:trPr>
        <w:tc>
          <w:tcPr>
            <w:tcW w:w="4472" w:type="dxa"/>
            <w:noWrap/>
            <w:vAlign w:val="bottom"/>
            <w:hideMark/>
          </w:tcPr>
          <w:p w14:paraId="6E061944" w14:textId="77777777" w:rsidR="00B41D3D" w:rsidRPr="00E75CB3" w:rsidRDefault="00B41D3D" w:rsidP="00B41D3D">
            <w:pPr>
              <w:spacing w:after="0" w:line="276" w:lineRule="auto"/>
              <w:rPr>
                <w:rFonts w:eastAsia="Times New Roman" w:cstheme="minorHAnsi"/>
                <w:color w:val="000000"/>
                <w:sz w:val="20"/>
                <w:szCs w:val="20"/>
                <w:lang w:eastAsia="en-CA"/>
              </w:rPr>
            </w:pPr>
            <w:r w:rsidRPr="00E75CB3">
              <w:rPr>
                <w:rFonts w:eastAsia="Times New Roman" w:cstheme="minorHAnsi"/>
                <w:color w:val="000000"/>
                <w:sz w:val="20"/>
                <w:szCs w:val="20"/>
                <w:lang w:eastAsia="en-CA"/>
              </w:rPr>
              <w:lastRenderedPageBreak/>
              <w:t>&gt;=4</w:t>
            </w:r>
          </w:p>
        </w:tc>
        <w:tc>
          <w:tcPr>
            <w:tcW w:w="2011" w:type="dxa"/>
            <w:noWrap/>
            <w:vAlign w:val="bottom"/>
          </w:tcPr>
          <w:p w14:paraId="7B042BC1" w14:textId="77777777"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4 (2)</w:t>
            </w:r>
          </w:p>
        </w:tc>
        <w:tc>
          <w:tcPr>
            <w:tcW w:w="1546" w:type="dxa"/>
            <w:noWrap/>
            <w:vAlign w:val="bottom"/>
          </w:tcPr>
          <w:p w14:paraId="6A0F743C" w14:textId="4C9D9141"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3</w:t>
            </w:r>
            <w:r w:rsidR="00D20576">
              <w:rPr>
                <w:rFonts w:eastAsia="Times New Roman" w:cstheme="minorHAnsi"/>
                <w:sz w:val="20"/>
                <w:szCs w:val="20"/>
                <w:lang w:eastAsia="en-CA"/>
              </w:rPr>
              <w:t>(4)</w:t>
            </w:r>
          </w:p>
        </w:tc>
        <w:tc>
          <w:tcPr>
            <w:tcW w:w="1545" w:type="dxa"/>
            <w:noWrap/>
            <w:vAlign w:val="bottom"/>
          </w:tcPr>
          <w:p w14:paraId="6DEB1C01" w14:textId="455C0C26" w:rsidR="00B41D3D" w:rsidRPr="00E75CB3" w:rsidRDefault="00B41D3D" w:rsidP="00B41D3D">
            <w:pPr>
              <w:spacing w:after="0" w:line="276" w:lineRule="auto"/>
              <w:rPr>
                <w:rFonts w:eastAsia="Times New Roman" w:cstheme="minorHAnsi"/>
                <w:sz w:val="20"/>
                <w:szCs w:val="20"/>
                <w:lang w:eastAsia="en-CA"/>
              </w:rPr>
            </w:pPr>
            <w:r w:rsidRPr="00E75CB3">
              <w:rPr>
                <w:rFonts w:eastAsia="Times New Roman" w:cstheme="minorHAnsi"/>
                <w:sz w:val="20"/>
                <w:szCs w:val="20"/>
                <w:lang w:eastAsia="en-CA"/>
              </w:rPr>
              <w:t xml:space="preserve">1 </w:t>
            </w:r>
            <w:r w:rsidR="00D20576">
              <w:rPr>
                <w:rFonts w:eastAsia="Times New Roman" w:cstheme="minorHAnsi"/>
                <w:sz w:val="20"/>
                <w:szCs w:val="20"/>
                <w:lang w:eastAsia="en-CA"/>
              </w:rPr>
              <w:t>(1)</w:t>
            </w:r>
          </w:p>
        </w:tc>
        <w:tc>
          <w:tcPr>
            <w:tcW w:w="2261" w:type="dxa"/>
            <w:noWrap/>
            <w:vAlign w:val="bottom"/>
          </w:tcPr>
          <w:p w14:paraId="6F9E3604" w14:textId="77777777" w:rsidR="00B41D3D" w:rsidRPr="00E75CB3" w:rsidRDefault="00B41D3D" w:rsidP="00B41D3D">
            <w:pPr>
              <w:spacing w:line="276" w:lineRule="auto"/>
              <w:rPr>
                <w:rFonts w:eastAsia="Times New Roman" w:cstheme="minorHAnsi"/>
                <w:sz w:val="20"/>
                <w:szCs w:val="20"/>
                <w:lang w:eastAsia="en-CA"/>
              </w:rPr>
            </w:pPr>
          </w:p>
        </w:tc>
      </w:tr>
      <w:tr w:rsidR="00B41D3D" w:rsidRPr="00E75CB3" w14:paraId="024576D6" w14:textId="77777777" w:rsidTr="00B41D3D">
        <w:trPr>
          <w:trHeight w:val="297"/>
        </w:trPr>
        <w:tc>
          <w:tcPr>
            <w:tcW w:w="11838" w:type="dxa"/>
            <w:gridSpan w:val="5"/>
            <w:tcBorders>
              <w:top w:val="single" w:sz="4" w:space="0" w:color="auto"/>
              <w:left w:val="nil"/>
              <w:bottom w:val="single" w:sz="4" w:space="0" w:color="auto"/>
              <w:right w:val="nil"/>
            </w:tcBorders>
            <w:hideMark/>
          </w:tcPr>
          <w:p w14:paraId="2C819532" w14:textId="77777777" w:rsidR="00B41D3D" w:rsidRPr="00E75CB3" w:rsidRDefault="00B41D3D" w:rsidP="00B41D3D">
            <w:pPr>
              <w:spacing w:line="276" w:lineRule="auto"/>
              <w:rPr>
                <w:rFonts w:eastAsiaTheme="minorEastAsia"/>
                <w:sz w:val="20"/>
                <w:szCs w:val="20"/>
                <w:vertAlign w:val="superscript"/>
              </w:rPr>
            </w:pPr>
            <w:r w:rsidRPr="00E75CB3">
              <w:rPr>
                <w:rFonts w:eastAsiaTheme="minorEastAsia"/>
                <w:sz w:val="20"/>
                <w:szCs w:val="20"/>
                <w:vertAlign w:val="superscript"/>
              </w:rPr>
              <w:t xml:space="preserve">a </w:t>
            </w:r>
            <w:r w:rsidRPr="00E75CB3">
              <w:rPr>
                <w:rFonts w:eastAsiaTheme="minorEastAsia"/>
                <w:sz w:val="20"/>
                <w:szCs w:val="20"/>
              </w:rPr>
              <w:t>Significant at P value &lt;0.05</w:t>
            </w:r>
            <w:r w:rsidRPr="00E75CB3">
              <w:rPr>
                <w:rFonts w:eastAsiaTheme="minorEastAsia"/>
                <w:sz w:val="20"/>
                <w:szCs w:val="20"/>
                <w:vertAlign w:val="superscript"/>
              </w:rPr>
              <w:t xml:space="preserve"> b </w:t>
            </w:r>
            <w:r w:rsidRPr="00E75CB3">
              <w:rPr>
                <w:rFonts w:eastAsiaTheme="minorEastAsia"/>
                <w:sz w:val="20"/>
                <w:szCs w:val="20"/>
              </w:rPr>
              <w:t>Fischer’s Exact test if group total was &lt; 5</w:t>
            </w:r>
          </w:p>
        </w:tc>
      </w:tr>
    </w:tbl>
    <w:p w14:paraId="3DEC90C9" w14:textId="77777777" w:rsidR="00B41D3D" w:rsidRPr="00E201D6" w:rsidRDefault="00B41D3D" w:rsidP="00B41D3D">
      <w:pPr>
        <w:spacing w:line="276" w:lineRule="auto"/>
        <w:rPr>
          <w:rFonts w:eastAsiaTheme="minorEastAsia" w:cstheme="minorHAnsi"/>
          <w:i/>
          <w:szCs w:val="24"/>
          <w:lang w:val="en-US"/>
        </w:rPr>
      </w:pPr>
    </w:p>
    <w:p w14:paraId="377B4CD5" w14:textId="77777777" w:rsidR="00B41D3D" w:rsidRPr="00E75CB3" w:rsidRDefault="00B41D3D" w:rsidP="00B41D3D">
      <w:pPr>
        <w:keepNext/>
        <w:keepLines/>
        <w:spacing w:before="400" w:after="40" w:line="240" w:lineRule="auto"/>
        <w:outlineLvl w:val="0"/>
        <w:rPr>
          <w:rFonts w:eastAsiaTheme="majorEastAsia" w:cstheme="majorBidi"/>
          <w:b/>
          <w:caps/>
          <w:szCs w:val="36"/>
        </w:rPr>
      </w:pPr>
      <w:r w:rsidRPr="00E75CB3">
        <w:rPr>
          <w:rFonts w:eastAsiaTheme="majorEastAsia" w:cstheme="majorBidi"/>
          <w:b/>
          <w:caps/>
          <w:szCs w:val="36"/>
        </w:rPr>
        <w:t xml:space="preserve">Table </w:t>
      </w:r>
      <w:proofErr w:type="gramStart"/>
      <w:r w:rsidRPr="00E75CB3">
        <w:rPr>
          <w:rFonts w:eastAsiaTheme="majorEastAsia" w:cstheme="majorBidi"/>
          <w:b/>
          <w:caps/>
          <w:szCs w:val="36"/>
        </w:rPr>
        <w:t>S.5  Sensitivity</w:t>
      </w:r>
      <w:proofErr w:type="gramEnd"/>
      <w:r w:rsidRPr="00E75CB3">
        <w:rPr>
          <w:rFonts w:eastAsiaTheme="majorEastAsia" w:cstheme="majorBidi"/>
          <w:b/>
          <w:caps/>
          <w:szCs w:val="36"/>
        </w:rPr>
        <w:t xml:space="preserve"> Analysis for selected outcomes with linearity of logit assumption violated</w:t>
      </w:r>
    </w:p>
    <w:tbl>
      <w:tblPr>
        <w:tblpPr w:leftFromText="180" w:rightFromText="180" w:bottomFromText="160" w:vertAnchor="text" w:horzAnchor="margin" w:tblpY="23"/>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2817"/>
        <w:gridCol w:w="2568"/>
      </w:tblGrid>
      <w:tr w:rsidR="00B41D3D" w:rsidRPr="00E75CB3" w14:paraId="039C131E" w14:textId="77777777" w:rsidTr="00B41D3D">
        <w:trPr>
          <w:trHeight w:val="337"/>
        </w:trPr>
        <w:tc>
          <w:tcPr>
            <w:tcW w:w="4515" w:type="dxa"/>
            <w:tcBorders>
              <w:top w:val="single" w:sz="4" w:space="0" w:color="auto"/>
              <w:left w:val="nil"/>
              <w:bottom w:val="nil"/>
              <w:right w:val="nil"/>
            </w:tcBorders>
            <w:noWrap/>
            <w:vAlign w:val="bottom"/>
            <w:hideMark/>
          </w:tcPr>
          <w:p w14:paraId="103F61BF" w14:textId="77777777" w:rsidR="00B41D3D" w:rsidRPr="00E75CB3" w:rsidRDefault="00B41D3D" w:rsidP="00B41D3D">
            <w:pPr>
              <w:spacing w:line="276" w:lineRule="auto"/>
              <w:rPr>
                <w:rFonts w:ascii="Times New Roman" w:eastAsia="Times New Roman" w:hAnsi="Times New Roman" w:cs="Times New Roman"/>
                <w:sz w:val="20"/>
                <w:szCs w:val="20"/>
                <w:lang w:eastAsia="en-CA"/>
              </w:rPr>
            </w:pPr>
          </w:p>
        </w:tc>
        <w:tc>
          <w:tcPr>
            <w:tcW w:w="2817" w:type="dxa"/>
            <w:tcBorders>
              <w:top w:val="single" w:sz="4" w:space="0" w:color="auto"/>
              <w:left w:val="nil"/>
              <w:bottom w:val="nil"/>
              <w:right w:val="nil"/>
            </w:tcBorders>
            <w:noWrap/>
            <w:vAlign w:val="bottom"/>
            <w:hideMark/>
          </w:tcPr>
          <w:p w14:paraId="6A95921C" w14:textId="5E12A006" w:rsidR="00B41D3D" w:rsidRPr="00E75CB3" w:rsidRDefault="000C5D2A" w:rsidP="00B41D3D">
            <w:pPr>
              <w:spacing w:after="0" w:line="276"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Cooking Fuel Use</w:t>
            </w:r>
          </w:p>
        </w:tc>
        <w:tc>
          <w:tcPr>
            <w:tcW w:w="2568" w:type="dxa"/>
            <w:tcBorders>
              <w:top w:val="single" w:sz="4" w:space="0" w:color="auto"/>
              <w:left w:val="nil"/>
              <w:bottom w:val="nil"/>
              <w:right w:val="nil"/>
            </w:tcBorders>
            <w:noWrap/>
            <w:vAlign w:val="bottom"/>
            <w:hideMark/>
          </w:tcPr>
          <w:p w14:paraId="07131F15" w14:textId="77777777" w:rsidR="00B41D3D" w:rsidRPr="00E75CB3" w:rsidRDefault="00B41D3D" w:rsidP="00B41D3D">
            <w:pPr>
              <w:spacing w:line="276" w:lineRule="auto"/>
              <w:rPr>
                <w:rFonts w:ascii="Calibri" w:eastAsia="Times New Roman" w:hAnsi="Calibri" w:cs="Calibri"/>
                <w:b/>
                <w:bCs/>
                <w:color w:val="000000"/>
                <w:lang w:eastAsia="en-CA"/>
              </w:rPr>
            </w:pPr>
          </w:p>
        </w:tc>
      </w:tr>
      <w:tr w:rsidR="00B41D3D" w:rsidRPr="00E75CB3" w14:paraId="5F912976" w14:textId="77777777" w:rsidTr="00B41D3D">
        <w:trPr>
          <w:trHeight w:val="337"/>
        </w:trPr>
        <w:tc>
          <w:tcPr>
            <w:tcW w:w="4515" w:type="dxa"/>
            <w:tcBorders>
              <w:top w:val="nil"/>
              <w:left w:val="nil"/>
              <w:bottom w:val="nil"/>
              <w:right w:val="nil"/>
            </w:tcBorders>
            <w:noWrap/>
            <w:vAlign w:val="bottom"/>
            <w:hideMark/>
          </w:tcPr>
          <w:p w14:paraId="15961901" w14:textId="77777777" w:rsidR="00B41D3D" w:rsidRPr="00E75CB3" w:rsidRDefault="00B41D3D" w:rsidP="00B41D3D">
            <w:pPr>
              <w:spacing w:after="0" w:line="276" w:lineRule="auto"/>
              <w:rPr>
                <w:rFonts w:ascii="Times New Roman" w:eastAsia="Times New Roman" w:hAnsi="Times New Roman" w:cs="Times New Roman"/>
                <w:sz w:val="20"/>
                <w:szCs w:val="20"/>
                <w:lang w:eastAsia="en-CA"/>
              </w:rPr>
            </w:pPr>
            <w:r w:rsidRPr="00E75CB3">
              <w:rPr>
                <w:rFonts w:eastAsia="Times New Roman" w:cstheme="minorHAnsi"/>
                <w:b/>
                <w:bCs/>
                <w:color w:val="000000"/>
                <w:szCs w:val="24"/>
                <w:lang w:eastAsia="en-CA"/>
              </w:rPr>
              <w:t>Outcome</w:t>
            </w:r>
          </w:p>
        </w:tc>
        <w:tc>
          <w:tcPr>
            <w:tcW w:w="2817" w:type="dxa"/>
            <w:tcBorders>
              <w:top w:val="nil"/>
              <w:left w:val="nil"/>
              <w:bottom w:val="nil"/>
              <w:right w:val="nil"/>
            </w:tcBorders>
            <w:noWrap/>
            <w:vAlign w:val="bottom"/>
            <w:hideMark/>
          </w:tcPr>
          <w:p w14:paraId="3A49EA32" w14:textId="1AB5D191" w:rsidR="00B41D3D" w:rsidRPr="00E75CB3" w:rsidRDefault="00146D0E" w:rsidP="00B41D3D">
            <w:pPr>
              <w:spacing w:after="0" w:line="276" w:lineRule="auto"/>
              <w:rPr>
                <w:rFonts w:ascii="Calibri" w:eastAsia="Times New Roman" w:hAnsi="Calibri" w:cs="Calibri"/>
                <w:b/>
                <w:bCs/>
                <w:color w:val="000000"/>
                <w:vertAlign w:val="superscript"/>
                <w:lang w:eastAsia="en-CA"/>
              </w:rPr>
            </w:pPr>
            <w:proofErr w:type="spellStart"/>
            <w:r>
              <w:rPr>
                <w:rFonts w:ascii="Calibri" w:eastAsia="Times New Roman" w:hAnsi="Calibri" w:cs="Calibri"/>
                <w:b/>
                <w:bCs/>
                <w:color w:val="000000"/>
                <w:lang w:eastAsia="en-CA"/>
              </w:rPr>
              <w:t>Polluting</w:t>
            </w:r>
            <w:r w:rsidR="00B41D3D" w:rsidRPr="00E75CB3">
              <w:rPr>
                <w:rFonts w:ascii="Calibri" w:eastAsia="Times New Roman" w:hAnsi="Calibri" w:cs="Calibri"/>
                <w:b/>
                <w:bCs/>
                <w:color w:val="000000"/>
                <w:vertAlign w:val="superscript"/>
                <w:lang w:eastAsia="en-CA"/>
              </w:rPr>
              <w:t>c</w:t>
            </w:r>
            <w:proofErr w:type="spellEnd"/>
          </w:p>
        </w:tc>
        <w:tc>
          <w:tcPr>
            <w:tcW w:w="2568" w:type="dxa"/>
            <w:tcBorders>
              <w:top w:val="nil"/>
              <w:left w:val="nil"/>
              <w:bottom w:val="nil"/>
              <w:right w:val="nil"/>
            </w:tcBorders>
            <w:noWrap/>
            <w:vAlign w:val="bottom"/>
            <w:hideMark/>
          </w:tcPr>
          <w:p w14:paraId="40AA47CC" w14:textId="12E854D5" w:rsidR="00B41D3D" w:rsidRPr="00E75CB3" w:rsidRDefault="00146D0E" w:rsidP="00B41D3D">
            <w:pPr>
              <w:spacing w:after="0" w:line="276" w:lineRule="auto"/>
              <w:rPr>
                <w:rFonts w:ascii="Calibri" w:eastAsia="Times New Roman" w:hAnsi="Calibri" w:cs="Calibri"/>
                <w:b/>
                <w:bCs/>
                <w:color w:val="000000"/>
                <w:vertAlign w:val="superscript"/>
                <w:lang w:eastAsia="en-CA"/>
              </w:rPr>
            </w:pPr>
            <w:proofErr w:type="spellStart"/>
            <w:r>
              <w:rPr>
                <w:rFonts w:ascii="Calibri" w:eastAsia="Times New Roman" w:hAnsi="Calibri" w:cs="Calibri"/>
                <w:b/>
                <w:bCs/>
                <w:color w:val="000000"/>
                <w:lang w:eastAsia="en-CA"/>
              </w:rPr>
              <w:t>Polluting</w:t>
            </w:r>
            <w:r w:rsidR="00B41D3D" w:rsidRPr="00E75CB3">
              <w:rPr>
                <w:rFonts w:ascii="Calibri" w:eastAsia="Times New Roman" w:hAnsi="Calibri" w:cs="Calibri"/>
                <w:b/>
                <w:bCs/>
                <w:color w:val="000000"/>
                <w:vertAlign w:val="superscript"/>
                <w:lang w:eastAsia="en-CA"/>
              </w:rPr>
              <w:t>c</w:t>
            </w:r>
            <w:proofErr w:type="spellEnd"/>
          </w:p>
        </w:tc>
      </w:tr>
      <w:tr w:rsidR="00B41D3D" w:rsidRPr="00E75CB3" w14:paraId="09C681AB" w14:textId="77777777" w:rsidTr="00B41D3D">
        <w:trPr>
          <w:trHeight w:val="366"/>
        </w:trPr>
        <w:tc>
          <w:tcPr>
            <w:tcW w:w="4515" w:type="dxa"/>
            <w:tcBorders>
              <w:top w:val="nil"/>
              <w:left w:val="nil"/>
              <w:bottom w:val="nil"/>
              <w:right w:val="nil"/>
            </w:tcBorders>
            <w:noWrap/>
            <w:vAlign w:val="bottom"/>
            <w:hideMark/>
          </w:tcPr>
          <w:p w14:paraId="5EF0713A" w14:textId="77777777" w:rsidR="00B41D3D" w:rsidRPr="00E75CB3" w:rsidRDefault="00B41D3D" w:rsidP="00B41D3D">
            <w:pPr>
              <w:spacing w:line="276" w:lineRule="auto"/>
              <w:rPr>
                <w:rFonts w:ascii="Calibri" w:eastAsia="Times New Roman" w:hAnsi="Calibri" w:cs="Calibri"/>
                <w:b/>
                <w:bCs/>
                <w:color w:val="000000"/>
                <w:lang w:eastAsia="en-CA"/>
              </w:rPr>
            </w:pPr>
          </w:p>
        </w:tc>
        <w:tc>
          <w:tcPr>
            <w:tcW w:w="2817" w:type="dxa"/>
            <w:tcBorders>
              <w:top w:val="nil"/>
              <w:left w:val="nil"/>
              <w:bottom w:val="nil"/>
              <w:right w:val="nil"/>
            </w:tcBorders>
            <w:noWrap/>
            <w:vAlign w:val="bottom"/>
            <w:hideMark/>
          </w:tcPr>
          <w:p w14:paraId="4934A459" w14:textId="77777777" w:rsidR="00B41D3D" w:rsidRPr="00E75CB3" w:rsidRDefault="00B41D3D" w:rsidP="00B41D3D">
            <w:pPr>
              <w:spacing w:after="0" w:line="276" w:lineRule="auto"/>
              <w:rPr>
                <w:rFonts w:eastAsia="Times New Roman" w:cstheme="minorHAnsi"/>
                <w:b/>
                <w:bCs/>
                <w:color w:val="000000"/>
                <w:szCs w:val="24"/>
                <w:lang w:eastAsia="en-CA"/>
              </w:rPr>
            </w:pPr>
            <w:r w:rsidRPr="00E75CB3">
              <w:rPr>
                <w:rFonts w:eastAsia="Times New Roman" w:cstheme="minorHAnsi"/>
                <w:b/>
                <w:bCs/>
                <w:color w:val="000000"/>
                <w:szCs w:val="24"/>
                <w:lang w:eastAsia="en-CA"/>
              </w:rPr>
              <w:t>OR (95%CI)</w:t>
            </w:r>
          </w:p>
        </w:tc>
        <w:tc>
          <w:tcPr>
            <w:tcW w:w="2568" w:type="dxa"/>
            <w:tcBorders>
              <w:top w:val="nil"/>
              <w:left w:val="nil"/>
              <w:bottom w:val="nil"/>
              <w:right w:val="nil"/>
            </w:tcBorders>
            <w:noWrap/>
            <w:vAlign w:val="bottom"/>
            <w:hideMark/>
          </w:tcPr>
          <w:p w14:paraId="0391C1DA" w14:textId="77777777" w:rsidR="00B41D3D" w:rsidRPr="00E75CB3" w:rsidRDefault="00B41D3D" w:rsidP="00B41D3D">
            <w:pPr>
              <w:spacing w:after="0" w:line="276" w:lineRule="auto"/>
              <w:rPr>
                <w:rFonts w:eastAsia="Times New Roman" w:cstheme="minorHAnsi"/>
                <w:b/>
                <w:bCs/>
                <w:color w:val="000000"/>
                <w:szCs w:val="24"/>
                <w:lang w:eastAsia="en-CA"/>
              </w:rPr>
            </w:pPr>
            <w:r w:rsidRPr="00E75CB3">
              <w:rPr>
                <w:rFonts w:eastAsia="Times New Roman" w:cstheme="minorHAnsi"/>
                <w:b/>
                <w:bCs/>
                <w:color w:val="000000"/>
                <w:szCs w:val="24"/>
                <w:lang w:eastAsia="en-CA"/>
              </w:rPr>
              <w:t>Adjusted OR(95%CI)</w:t>
            </w:r>
          </w:p>
        </w:tc>
      </w:tr>
      <w:tr w:rsidR="00B41D3D" w:rsidRPr="00E75CB3" w14:paraId="74E4C7A3" w14:textId="77777777" w:rsidTr="00B41D3D">
        <w:trPr>
          <w:trHeight w:val="366"/>
        </w:trPr>
        <w:tc>
          <w:tcPr>
            <w:tcW w:w="4515" w:type="dxa"/>
            <w:tcBorders>
              <w:top w:val="nil"/>
              <w:left w:val="nil"/>
              <w:bottom w:val="nil"/>
              <w:right w:val="nil"/>
            </w:tcBorders>
            <w:shd w:val="clear" w:color="auto" w:fill="FFFFFF"/>
            <w:noWrap/>
            <w:vAlign w:val="bottom"/>
            <w:hideMark/>
          </w:tcPr>
          <w:p w14:paraId="1F693CD0" w14:textId="77777777" w:rsidR="00B41D3D" w:rsidRPr="00E75CB3" w:rsidRDefault="00B41D3D" w:rsidP="00B41D3D">
            <w:pPr>
              <w:spacing w:after="0" w:line="276" w:lineRule="auto"/>
              <w:rPr>
                <w:rFonts w:eastAsia="Times New Roman" w:cstheme="minorHAnsi"/>
                <w:color w:val="000000"/>
                <w:szCs w:val="24"/>
                <w:vertAlign w:val="superscript"/>
                <w:lang w:eastAsia="en-CA"/>
              </w:rPr>
            </w:pPr>
            <w:r w:rsidRPr="00E75CB3">
              <w:rPr>
                <w:rFonts w:eastAsia="Times New Roman" w:cstheme="minorHAnsi"/>
                <w:color w:val="000000"/>
                <w:szCs w:val="24"/>
                <w:lang w:eastAsia="en-CA"/>
              </w:rPr>
              <w:t xml:space="preserve">Caesarean </w:t>
            </w:r>
            <w:proofErr w:type="spellStart"/>
            <w:r w:rsidRPr="00E75CB3">
              <w:rPr>
                <w:rFonts w:eastAsia="Times New Roman" w:cstheme="minorHAnsi"/>
                <w:color w:val="000000"/>
                <w:szCs w:val="24"/>
                <w:lang w:eastAsia="en-CA"/>
              </w:rPr>
              <w:t>Section</w:t>
            </w:r>
            <w:r w:rsidRPr="00E75CB3">
              <w:rPr>
                <w:rFonts w:eastAsia="Times New Roman" w:cstheme="minorHAnsi"/>
                <w:color w:val="000000"/>
                <w:szCs w:val="24"/>
                <w:vertAlign w:val="superscript"/>
                <w:lang w:eastAsia="en-CA"/>
              </w:rPr>
              <w:t>a</w:t>
            </w:r>
            <w:proofErr w:type="spellEnd"/>
          </w:p>
        </w:tc>
        <w:tc>
          <w:tcPr>
            <w:tcW w:w="2817" w:type="dxa"/>
            <w:tcBorders>
              <w:top w:val="nil"/>
              <w:left w:val="nil"/>
              <w:bottom w:val="nil"/>
              <w:right w:val="nil"/>
            </w:tcBorders>
            <w:shd w:val="clear" w:color="auto" w:fill="FFFFFF"/>
            <w:noWrap/>
            <w:vAlign w:val="bottom"/>
            <w:hideMark/>
          </w:tcPr>
          <w:p w14:paraId="234EBA2D" w14:textId="57AE95ED" w:rsidR="00B41D3D" w:rsidRPr="00E75CB3" w:rsidRDefault="00B41D3D" w:rsidP="00B41D3D">
            <w:pPr>
              <w:spacing w:after="0" w:line="276" w:lineRule="auto"/>
              <w:jc w:val="right"/>
              <w:rPr>
                <w:rFonts w:eastAsia="Times New Roman" w:cstheme="minorHAnsi"/>
                <w:color w:val="000000"/>
                <w:szCs w:val="24"/>
                <w:lang w:eastAsia="en-CA"/>
              </w:rPr>
            </w:pPr>
            <w:r w:rsidRPr="00E75CB3">
              <w:rPr>
                <w:rFonts w:eastAsia="Times New Roman" w:cstheme="minorHAnsi"/>
                <w:color w:val="000000"/>
                <w:szCs w:val="24"/>
                <w:lang w:eastAsia="en-CA"/>
              </w:rPr>
              <w:t>1.0</w:t>
            </w:r>
            <w:r w:rsidR="000C5D2A">
              <w:rPr>
                <w:rFonts w:eastAsia="Times New Roman" w:cstheme="minorHAnsi"/>
                <w:color w:val="000000"/>
                <w:szCs w:val="24"/>
                <w:lang w:eastAsia="en-CA"/>
              </w:rPr>
              <w:t>9</w:t>
            </w:r>
            <w:r w:rsidRPr="00E75CB3">
              <w:rPr>
                <w:rFonts w:eastAsia="Times New Roman" w:cstheme="minorHAnsi"/>
                <w:color w:val="000000"/>
                <w:szCs w:val="24"/>
                <w:lang w:eastAsia="en-CA"/>
              </w:rPr>
              <w:t xml:space="preserve"> (0.6</w:t>
            </w:r>
            <w:r w:rsidR="000C5D2A">
              <w:rPr>
                <w:rFonts w:eastAsia="Times New Roman" w:cstheme="minorHAnsi"/>
                <w:color w:val="000000"/>
                <w:szCs w:val="24"/>
                <w:lang w:eastAsia="en-CA"/>
              </w:rPr>
              <w:t>7</w:t>
            </w:r>
            <w:r w:rsidRPr="00E75CB3">
              <w:rPr>
                <w:rFonts w:eastAsia="Times New Roman" w:cstheme="minorHAnsi"/>
                <w:color w:val="000000"/>
                <w:szCs w:val="24"/>
                <w:lang w:eastAsia="en-CA"/>
              </w:rPr>
              <w:t>-1.</w:t>
            </w:r>
            <w:r w:rsidR="000C5D2A">
              <w:rPr>
                <w:rFonts w:eastAsia="Times New Roman" w:cstheme="minorHAnsi"/>
                <w:color w:val="000000"/>
                <w:szCs w:val="24"/>
                <w:lang w:eastAsia="en-CA"/>
              </w:rPr>
              <w:t>73</w:t>
            </w:r>
            <w:r w:rsidRPr="00E75CB3">
              <w:rPr>
                <w:rFonts w:eastAsia="Times New Roman" w:cstheme="minorHAnsi"/>
                <w:color w:val="000000"/>
                <w:szCs w:val="24"/>
                <w:lang w:eastAsia="en-CA"/>
              </w:rPr>
              <w:t>)</w:t>
            </w:r>
          </w:p>
        </w:tc>
        <w:tc>
          <w:tcPr>
            <w:tcW w:w="2568" w:type="dxa"/>
            <w:tcBorders>
              <w:top w:val="nil"/>
              <w:left w:val="nil"/>
              <w:bottom w:val="nil"/>
              <w:right w:val="nil"/>
            </w:tcBorders>
            <w:shd w:val="clear" w:color="auto" w:fill="FFFFFF"/>
            <w:noWrap/>
            <w:vAlign w:val="bottom"/>
            <w:hideMark/>
          </w:tcPr>
          <w:p w14:paraId="1E49162F" w14:textId="712E0970" w:rsidR="00B41D3D" w:rsidRPr="00E75CB3" w:rsidRDefault="00B41D3D" w:rsidP="00B41D3D">
            <w:pPr>
              <w:spacing w:after="0" w:line="276" w:lineRule="auto"/>
              <w:jc w:val="right"/>
              <w:rPr>
                <w:rFonts w:eastAsia="Times New Roman" w:cstheme="minorHAnsi"/>
                <w:color w:val="000000"/>
                <w:szCs w:val="24"/>
                <w:lang w:eastAsia="en-CA"/>
              </w:rPr>
            </w:pPr>
            <w:r w:rsidRPr="00E75CB3">
              <w:rPr>
                <w:rFonts w:eastAsia="Times New Roman" w:cstheme="minorHAnsi"/>
                <w:color w:val="000000"/>
                <w:szCs w:val="24"/>
                <w:lang w:eastAsia="en-CA"/>
              </w:rPr>
              <w:t>1.</w:t>
            </w:r>
            <w:r w:rsidR="000C5D2A">
              <w:rPr>
                <w:rFonts w:eastAsia="Times New Roman" w:cstheme="minorHAnsi"/>
                <w:color w:val="000000"/>
                <w:szCs w:val="24"/>
                <w:lang w:eastAsia="en-CA"/>
              </w:rPr>
              <w:t>22</w:t>
            </w:r>
            <w:r w:rsidRPr="00E75CB3">
              <w:rPr>
                <w:rFonts w:eastAsia="Times New Roman" w:cstheme="minorHAnsi"/>
                <w:color w:val="000000"/>
                <w:szCs w:val="24"/>
                <w:lang w:eastAsia="en-CA"/>
              </w:rPr>
              <w:t xml:space="preserve"> (0.6</w:t>
            </w:r>
            <w:r w:rsidR="000C5D2A">
              <w:rPr>
                <w:rFonts w:eastAsia="Times New Roman" w:cstheme="minorHAnsi"/>
                <w:color w:val="000000"/>
                <w:szCs w:val="24"/>
                <w:lang w:eastAsia="en-CA"/>
              </w:rPr>
              <w:t>5</w:t>
            </w:r>
            <w:r w:rsidRPr="00E75CB3">
              <w:rPr>
                <w:rFonts w:eastAsia="Times New Roman" w:cstheme="minorHAnsi"/>
                <w:color w:val="000000"/>
                <w:szCs w:val="24"/>
                <w:lang w:eastAsia="en-CA"/>
              </w:rPr>
              <w:t>-2.</w:t>
            </w:r>
            <w:r w:rsidR="000C5D2A">
              <w:rPr>
                <w:rFonts w:eastAsia="Times New Roman" w:cstheme="minorHAnsi"/>
                <w:color w:val="000000"/>
                <w:szCs w:val="24"/>
                <w:lang w:eastAsia="en-CA"/>
              </w:rPr>
              <w:t>28</w:t>
            </w:r>
            <w:r w:rsidRPr="00E75CB3">
              <w:rPr>
                <w:rFonts w:eastAsia="Times New Roman" w:cstheme="minorHAnsi"/>
                <w:color w:val="000000"/>
                <w:szCs w:val="24"/>
                <w:lang w:eastAsia="en-CA"/>
              </w:rPr>
              <w:t>)</w:t>
            </w:r>
          </w:p>
        </w:tc>
      </w:tr>
      <w:tr w:rsidR="00B41D3D" w:rsidRPr="00E75CB3" w14:paraId="58984F34" w14:textId="77777777" w:rsidTr="000C5D2A">
        <w:trPr>
          <w:trHeight w:val="366"/>
        </w:trPr>
        <w:tc>
          <w:tcPr>
            <w:tcW w:w="4515" w:type="dxa"/>
            <w:tcBorders>
              <w:top w:val="nil"/>
              <w:left w:val="nil"/>
              <w:bottom w:val="nil"/>
              <w:right w:val="nil"/>
            </w:tcBorders>
            <w:shd w:val="clear" w:color="auto" w:fill="FFFFFF"/>
            <w:noWrap/>
            <w:vAlign w:val="bottom"/>
            <w:hideMark/>
          </w:tcPr>
          <w:p w14:paraId="07CBABC2" w14:textId="77777777" w:rsidR="00B41D3D" w:rsidRPr="00E75CB3" w:rsidRDefault="00B41D3D" w:rsidP="00B41D3D">
            <w:pPr>
              <w:spacing w:after="0" w:line="276" w:lineRule="auto"/>
              <w:rPr>
                <w:rFonts w:eastAsia="Times New Roman" w:cstheme="minorHAnsi"/>
                <w:color w:val="000000"/>
                <w:szCs w:val="24"/>
                <w:vertAlign w:val="superscript"/>
                <w:lang w:eastAsia="en-CA"/>
              </w:rPr>
            </w:pPr>
            <w:r w:rsidRPr="00E75CB3">
              <w:rPr>
                <w:rFonts w:eastAsia="Times New Roman" w:cstheme="minorHAnsi"/>
                <w:color w:val="000000"/>
                <w:szCs w:val="24"/>
                <w:lang w:eastAsia="en-CA"/>
              </w:rPr>
              <w:t>Perinatal Mortality</w:t>
            </w:r>
          </w:p>
        </w:tc>
        <w:tc>
          <w:tcPr>
            <w:tcW w:w="2817" w:type="dxa"/>
            <w:tcBorders>
              <w:top w:val="nil"/>
              <w:left w:val="nil"/>
              <w:bottom w:val="nil"/>
              <w:right w:val="nil"/>
            </w:tcBorders>
            <w:shd w:val="clear" w:color="auto" w:fill="FFFFFF"/>
            <w:noWrap/>
            <w:vAlign w:val="bottom"/>
            <w:hideMark/>
          </w:tcPr>
          <w:p w14:paraId="2B88E88D" w14:textId="43AD2F1C" w:rsidR="00B41D3D" w:rsidRPr="00E75CB3" w:rsidRDefault="00B41D3D" w:rsidP="00B41D3D">
            <w:pPr>
              <w:spacing w:after="0" w:line="276" w:lineRule="auto"/>
              <w:jc w:val="right"/>
              <w:rPr>
                <w:rFonts w:eastAsia="Times New Roman" w:cstheme="minorHAnsi"/>
                <w:color w:val="000000"/>
                <w:szCs w:val="24"/>
                <w:lang w:eastAsia="en-CA"/>
              </w:rPr>
            </w:pPr>
            <w:r w:rsidRPr="00E75CB3">
              <w:rPr>
                <w:rFonts w:eastAsia="Times New Roman" w:cstheme="minorHAnsi"/>
                <w:color w:val="000000"/>
                <w:szCs w:val="24"/>
                <w:lang w:eastAsia="en-CA"/>
              </w:rPr>
              <w:t>3.</w:t>
            </w:r>
            <w:r w:rsidR="000C5D2A">
              <w:rPr>
                <w:rFonts w:eastAsia="Times New Roman" w:cstheme="minorHAnsi"/>
                <w:color w:val="000000"/>
                <w:szCs w:val="24"/>
                <w:lang w:eastAsia="en-CA"/>
              </w:rPr>
              <w:t>59</w:t>
            </w:r>
            <w:r w:rsidRPr="00E75CB3">
              <w:rPr>
                <w:rFonts w:eastAsia="Times New Roman" w:cstheme="minorHAnsi"/>
                <w:color w:val="000000"/>
                <w:szCs w:val="24"/>
                <w:lang w:eastAsia="en-CA"/>
              </w:rPr>
              <w:t xml:space="preserve"> (1.</w:t>
            </w:r>
            <w:r w:rsidR="000C5D2A">
              <w:rPr>
                <w:rFonts w:eastAsia="Times New Roman" w:cstheme="minorHAnsi"/>
                <w:color w:val="000000"/>
                <w:szCs w:val="24"/>
                <w:lang w:eastAsia="en-CA"/>
              </w:rPr>
              <w:t>07</w:t>
            </w:r>
            <w:r w:rsidRPr="00E75CB3">
              <w:rPr>
                <w:rFonts w:eastAsia="Times New Roman" w:cstheme="minorHAnsi"/>
                <w:color w:val="000000"/>
                <w:szCs w:val="24"/>
                <w:lang w:eastAsia="en-CA"/>
              </w:rPr>
              <w:t>-1</w:t>
            </w:r>
            <w:r w:rsidR="000C5D2A">
              <w:rPr>
                <w:rFonts w:eastAsia="Times New Roman" w:cstheme="minorHAnsi"/>
                <w:color w:val="000000"/>
                <w:szCs w:val="24"/>
                <w:lang w:eastAsia="en-CA"/>
              </w:rPr>
              <w:t>3</w:t>
            </w:r>
            <w:r w:rsidRPr="00E75CB3">
              <w:rPr>
                <w:rFonts w:eastAsia="Times New Roman" w:cstheme="minorHAnsi"/>
                <w:color w:val="000000"/>
                <w:szCs w:val="24"/>
                <w:lang w:eastAsia="en-CA"/>
              </w:rPr>
              <w:t>.</w:t>
            </w:r>
            <w:r w:rsidR="000C5D2A">
              <w:rPr>
                <w:rFonts w:eastAsia="Times New Roman" w:cstheme="minorHAnsi"/>
                <w:color w:val="000000"/>
                <w:szCs w:val="24"/>
                <w:lang w:eastAsia="en-CA"/>
              </w:rPr>
              <w:t>83</w:t>
            </w:r>
            <w:r w:rsidRPr="00E75CB3">
              <w:rPr>
                <w:rFonts w:eastAsia="Times New Roman" w:cstheme="minorHAnsi"/>
                <w:color w:val="000000"/>
                <w:szCs w:val="24"/>
                <w:lang w:eastAsia="en-CA"/>
              </w:rPr>
              <w:t>)</w:t>
            </w:r>
          </w:p>
        </w:tc>
        <w:tc>
          <w:tcPr>
            <w:tcW w:w="2568" w:type="dxa"/>
            <w:tcBorders>
              <w:top w:val="nil"/>
              <w:left w:val="nil"/>
              <w:bottom w:val="nil"/>
              <w:right w:val="nil"/>
            </w:tcBorders>
            <w:shd w:val="clear" w:color="auto" w:fill="FFFFFF"/>
            <w:noWrap/>
            <w:vAlign w:val="bottom"/>
          </w:tcPr>
          <w:p w14:paraId="3E4E301B" w14:textId="557B4BE2" w:rsidR="00B41D3D" w:rsidRPr="0009599C" w:rsidRDefault="007676B9" w:rsidP="00B41D3D">
            <w:pPr>
              <w:spacing w:after="0" w:line="276" w:lineRule="auto"/>
              <w:jc w:val="right"/>
              <w:rPr>
                <w:rFonts w:eastAsia="Times New Roman" w:cstheme="minorHAnsi"/>
                <w:color w:val="000000"/>
                <w:szCs w:val="24"/>
                <w:vertAlign w:val="superscript"/>
                <w:lang w:eastAsia="en-CA"/>
              </w:rPr>
            </w:pPr>
            <w:r>
              <w:rPr>
                <w:rFonts w:eastAsia="Times New Roman" w:cstheme="minorHAnsi"/>
                <w:color w:val="000000"/>
                <w:szCs w:val="24"/>
                <w:lang w:eastAsia="en-CA"/>
              </w:rPr>
              <w:t>5.38(1.15-26.15)</w:t>
            </w:r>
            <w:r w:rsidR="0009599C">
              <w:rPr>
                <w:rFonts w:eastAsia="Times New Roman" w:cstheme="minorHAnsi"/>
                <w:color w:val="000000"/>
                <w:szCs w:val="24"/>
                <w:vertAlign w:val="superscript"/>
                <w:lang w:eastAsia="en-CA"/>
              </w:rPr>
              <w:t>a</w:t>
            </w:r>
          </w:p>
        </w:tc>
      </w:tr>
      <w:tr w:rsidR="00B41D3D" w:rsidRPr="00E75CB3" w14:paraId="1CDFABA4" w14:textId="77777777" w:rsidTr="000C5D2A">
        <w:trPr>
          <w:trHeight w:val="366"/>
        </w:trPr>
        <w:tc>
          <w:tcPr>
            <w:tcW w:w="4515" w:type="dxa"/>
            <w:tcBorders>
              <w:top w:val="nil"/>
              <w:left w:val="nil"/>
              <w:bottom w:val="nil"/>
              <w:right w:val="nil"/>
            </w:tcBorders>
            <w:shd w:val="clear" w:color="auto" w:fill="FFFFFF"/>
            <w:noWrap/>
            <w:vAlign w:val="bottom"/>
            <w:hideMark/>
          </w:tcPr>
          <w:p w14:paraId="66235E19" w14:textId="5AABC4EE" w:rsidR="00B41D3D" w:rsidRPr="00E75CB3" w:rsidRDefault="00B41D3D" w:rsidP="00B41D3D">
            <w:pPr>
              <w:spacing w:after="0" w:line="276" w:lineRule="auto"/>
              <w:rPr>
                <w:rFonts w:eastAsia="Times New Roman" w:cstheme="minorHAnsi"/>
                <w:color w:val="000000"/>
                <w:szCs w:val="24"/>
                <w:vertAlign w:val="superscript"/>
                <w:lang w:eastAsia="en-CA"/>
              </w:rPr>
            </w:pPr>
            <w:r w:rsidRPr="00E75CB3">
              <w:rPr>
                <w:rFonts w:eastAsia="Times New Roman" w:cstheme="minorHAnsi"/>
                <w:color w:val="000000"/>
                <w:szCs w:val="24"/>
                <w:lang w:eastAsia="en-CA"/>
              </w:rPr>
              <w:t>S</w:t>
            </w:r>
            <w:r w:rsidR="00DA203A">
              <w:rPr>
                <w:rFonts w:eastAsia="Times New Roman" w:cstheme="minorHAnsi"/>
                <w:color w:val="000000"/>
                <w:szCs w:val="24"/>
                <w:lang w:eastAsia="en-CA"/>
              </w:rPr>
              <w:t xml:space="preserve">mall for </w:t>
            </w:r>
            <w:r w:rsidRPr="00E75CB3">
              <w:rPr>
                <w:rFonts w:eastAsia="Times New Roman" w:cstheme="minorHAnsi"/>
                <w:color w:val="000000"/>
                <w:szCs w:val="24"/>
                <w:lang w:eastAsia="en-CA"/>
              </w:rPr>
              <w:t>G</w:t>
            </w:r>
            <w:r w:rsidR="00DA203A">
              <w:rPr>
                <w:rFonts w:eastAsia="Times New Roman" w:cstheme="minorHAnsi"/>
                <w:color w:val="000000"/>
                <w:szCs w:val="24"/>
                <w:lang w:eastAsia="en-CA"/>
              </w:rPr>
              <w:t xml:space="preserve">estational </w:t>
            </w:r>
            <w:proofErr w:type="spellStart"/>
            <w:r w:rsidRPr="00E75CB3">
              <w:rPr>
                <w:rFonts w:eastAsia="Times New Roman" w:cstheme="minorHAnsi"/>
                <w:color w:val="000000"/>
                <w:szCs w:val="24"/>
                <w:lang w:eastAsia="en-CA"/>
              </w:rPr>
              <w:t>A</w:t>
            </w:r>
            <w:r w:rsidR="00DA203A">
              <w:rPr>
                <w:rFonts w:eastAsia="Times New Roman" w:cstheme="minorHAnsi"/>
                <w:color w:val="000000"/>
                <w:szCs w:val="24"/>
                <w:lang w:eastAsia="en-CA"/>
              </w:rPr>
              <w:t>ge</w:t>
            </w:r>
            <w:r w:rsidRPr="00E75CB3">
              <w:rPr>
                <w:rFonts w:eastAsia="Times New Roman" w:cstheme="minorHAnsi"/>
                <w:color w:val="000000"/>
                <w:szCs w:val="24"/>
                <w:vertAlign w:val="superscript"/>
                <w:lang w:eastAsia="en-CA"/>
              </w:rPr>
              <w:t>b</w:t>
            </w:r>
            <w:proofErr w:type="spellEnd"/>
          </w:p>
        </w:tc>
        <w:tc>
          <w:tcPr>
            <w:tcW w:w="2817" w:type="dxa"/>
            <w:tcBorders>
              <w:top w:val="nil"/>
              <w:left w:val="nil"/>
              <w:bottom w:val="nil"/>
              <w:right w:val="nil"/>
            </w:tcBorders>
            <w:shd w:val="clear" w:color="auto" w:fill="FFFFFF"/>
            <w:noWrap/>
            <w:vAlign w:val="bottom"/>
            <w:hideMark/>
          </w:tcPr>
          <w:p w14:paraId="75DDC79C" w14:textId="592AF062" w:rsidR="00B41D3D" w:rsidRPr="00E75CB3" w:rsidRDefault="00B41D3D" w:rsidP="00B41D3D">
            <w:pPr>
              <w:spacing w:after="0" w:line="276" w:lineRule="auto"/>
              <w:jc w:val="right"/>
              <w:rPr>
                <w:rFonts w:eastAsia="Times New Roman" w:cstheme="minorHAnsi"/>
                <w:color w:val="000000"/>
                <w:szCs w:val="24"/>
                <w:lang w:eastAsia="en-CA"/>
              </w:rPr>
            </w:pPr>
            <w:r w:rsidRPr="00E75CB3">
              <w:rPr>
                <w:rFonts w:eastAsia="Times New Roman" w:cstheme="minorHAnsi"/>
                <w:color w:val="000000"/>
                <w:szCs w:val="24"/>
                <w:lang w:eastAsia="en-CA"/>
              </w:rPr>
              <w:t>1.</w:t>
            </w:r>
            <w:r w:rsidR="009D1646">
              <w:rPr>
                <w:rFonts w:eastAsia="Times New Roman" w:cstheme="minorHAnsi"/>
                <w:color w:val="000000"/>
                <w:szCs w:val="24"/>
                <w:lang w:eastAsia="en-CA"/>
              </w:rPr>
              <w:t>26</w:t>
            </w:r>
            <w:r w:rsidRPr="00E75CB3">
              <w:rPr>
                <w:rFonts w:eastAsia="Times New Roman" w:cstheme="minorHAnsi"/>
                <w:color w:val="000000"/>
                <w:szCs w:val="24"/>
                <w:lang w:eastAsia="en-CA"/>
              </w:rPr>
              <w:t xml:space="preserve"> (0.4</w:t>
            </w:r>
            <w:r w:rsidR="009D1646">
              <w:rPr>
                <w:rFonts w:eastAsia="Times New Roman" w:cstheme="minorHAnsi"/>
                <w:color w:val="000000"/>
                <w:szCs w:val="24"/>
                <w:lang w:eastAsia="en-CA"/>
              </w:rPr>
              <w:t>6</w:t>
            </w:r>
            <w:r w:rsidRPr="00E75CB3">
              <w:rPr>
                <w:rFonts w:eastAsia="Times New Roman" w:cstheme="minorHAnsi"/>
                <w:color w:val="000000"/>
                <w:szCs w:val="24"/>
                <w:lang w:eastAsia="en-CA"/>
              </w:rPr>
              <w:t>-3.</w:t>
            </w:r>
            <w:r w:rsidR="009D1646">
              <w:rPr>
                <w:rFonts w:eastAsia="Times New Roman" w:cstheme="minorHAnsi"/>
                <w:color w:val="000000"/>
                <w:szCs w:val="24"/>
                <w:lang w:eastAsia="en-CA"/>
              </w:rPr>
              <w:t>25</w:t>
            </w:r>
            <w:r w:rsidRPr="00E75CB3">
              <w:rPr>
                <w:rFonts w:eastAsia="Times New Roman" w:cstheme="minorHAnsi"/>
                <w:color w:val="000000"/>
                <w:szCs w:val="24"/>
                <w:lang w:eastAsia="en-CA"/>
              </w:rPr>
              <w:t>)</w:t>
            </w:r>
          </w:p>
        </w:tc>
        <w:tc>
          <w:tcPr>
            <w:tcW w:w="2568" w:type="dxa"/>
            <w:tcBorders>
              <w:top w:val="nil"/>
              <w:left w:val="nil"/>
              <w:bottom w:val="nil"/>
              <w:right w:val="nil"/>
            </w:tcBorders>
            <w:shd w:val="clear" w:color="auto" w:fill="FFFFFF"/>
            <w:noWrap/>
            <w:vAlign w:val="bottom"/>
          </w:tcPr>
          <w:p w14:paraId="583FA667" w14:textId="0BB66159" w:rsidR="00B41D3D" w:rsidRPr="00E75CB3" w:rsidRDefault="00146D0E" w:rsidP="00B41D3D">
            <w:pPr>
              <w:spacing w:after="0" w:line="276" w:lineRule="auto"/>
              <w:jc w:val="right"/>
              <w:rPr>
                <w:rFonts w:eastAsia="Times New Roman" w:cstheme="minorHAnsi"/>
                <w:color w:val="000000"/>
                <w:szCs w:val="24"/>
                <w:lang w:eastAsia="en-CA"/>
              </w:rPr>
            </w:pPr>
            <w:r>
              <w:rPr>
                <w:rFonts w:eastAsia="Times New Roman" w:cstheme="minorHAnsi"/>
                <w:color w:val="000000"/>
                <w:szCs w:val="24"/>
                <w:lang w:eastAsia="en-CA"/>
              </w:rPr>
              <w:t>0.67(0.18-2.54)</w:t>
            </w:r>
          </w:p>
        </w:tc>
      </w:tr>
      <w:tr w:rsidR="00B41D3D" w:rsidRPr="00E75CB3" w14:paraId="631C8BF4" w14:textId="77777777" w:rsidTr="00B41D3D">
        <w:trPr>
          <w:trHeight w:val="216"/>
        </w:trPr>
        <w:tc>
          <w:tcPr>
            <w:tcW w:w="9900" w:type="dxa"/>
            <w:gridSpan w:val="3"/>
            <w:tcBorders>
              <w:top w:val="single" w:sz="4" w:space="0" w:color="auto"/>
              <w:left w:val="nil"/>
              <w:bottom w:val="single" w:sz="4" w:space="0" w:color="auto"/>
              <w:right w:val="nil"/>
            </w:tcBorders>
            <w:hideMark/>
          </w:tcPr>
          <w:p w14:paraId="4BC86D79" w14:textId="730D331B" w:rsidR="00B41D3D" w:rsidRPr="00E75CB3" w:rsidRDefault="00B41D3D" w:rsidP="00B41D3D">
            <w:pPr>
              <w:spacing w:line="276" w:lineRule="auto"/>
              <w:rPr>
                <w:rFonts w:eastAsiaTheme="minorEastAsia"/>
                <w:b/>
              </w:rPr>
            </w:pPr>
            <w:proofErr w:type="spellStart"/>
            <w:r w:rsidRPr="00E75CB3">
              <w:rPr>
                <w:rFonts w:eastAsia="Times New Roman" w:cstheme="minorHAnsi"/>
                <w:color w:val="000000"/>
                <w:szCs w:val="24"/>
                <w:vertAlign w:val="superscript"/>
                <w:lang w:eastAsia="en-CA"/>
              </w:rPr>
              <w:t>a</w:t>
            </w:r>
            <w:proofErr w:type="spellEnd"/>
            <w:r w:rsidRPr="00E75CB3">
              <w:rPr>
                <w:rFonts w:eastAsia="Times New Roman" w:cstheme="minorHAnsi"/>
                <w:color w:val="000000"/>
                <w:szCs w:val="24"/>
                <w:vertAlign w:val="superscript"/>
                <w:lang w:eastAsia="en-CA"/>
              </w:rPr>
              <w:t xml:space="preserve"> </w:t>
            </w:r>
            <w:r w:rsidRPr="00E75CB3">
              <w:rPr>
                <w:rFonts w:eastAsia="Times New Roman" w:cstheme="minorHAnsi"/>
                <w:color w:val="000000"/>
                <w:szCs w:val="24"/>
                <w:lang w:eastAsia="en-CA"/>
              </w:rPr>
              <w:t xml:space="preserve">age was categorized </w:t>
            </w:r>
            <w:r w:rsidRPr="00E75CB3">
              <w:rPr>
                <w:rFonts w:eastAsia="Times New Roman" w:cstheme="minorHAnsi"/>
                <w:color w:val="000000"/>
                <w:szCs w:val="24"/>
                <w:vertAlign w:val="superscript"/>
                <w:lang w:eastAsia="en-CA"/>
              </w:rPr>
              <w:t>b</w:t>
            </w:r>
            <w:r w:rsidRPr="00E75CB3">
              <w:rPr>
                <w:rFonts w:eastAsia="Times New Roman" w:cstheme="minorHAnsi"/>
                <w:color w:val="000000"/>
                <w:szCs w:val="24"/>
                <w:lang w:eastAsia="en-CA"/>
              </w:rPr>
              <w:t xml:space="preserve"> age and BMI was categorized </w:t>
            </w:r>
            <w:r w:rsidRPr="00E75CB3">
              <w:rPr>
                <w:rFonts w:eastAsia="Times New Roman" w:cstheme="minorHAnsi"/>
                <w:color w:val="000000"/>
                <w:szCs w:val="24"/>
                <w:vertAlign w:val="superscript"/>
                <w:lang w:eastAsia="en-CA"/>
              </w:rPr>
              <w:t xml:space="preserve">c </w:t>
            </w:r>
            <w:r w:rsidR="007B2B18">
              <w:rPr>
                <w:rFonts w:eastAsia="Times New Roman" w:cstheme="minorHAnsi"/>
                <w:color w:val="000000"/>
                <w:szCs w:val="24"/>
                <w:lang w:eastAsia="en-CA"/>
              </w:rPr>
              <w:t>clean</w:t>
            </w:r>
            <w:r w:rsidRPr="00E75CB3">
              <w:rPr>
                <w:rFonts w:eastAsia="Times New Roman" w:cstheme="minorHAnsi"/>
                <w:color w:val="000000"/>
                <w:szCs w:val="24"/>
                <w:lang w:eastAsia="en-CA"/>
              </w:rPr>
              <w:t xml:space="preserve"> (reference)</w:t>
            </w:r>
          </w:p>
        </w:tc>
      </w:tr>
    </w:tbl>
    <w:p w14:paraId="5931F70A" w14:textId="77777777" w:rsidR="00B41D3D" w:rsidRDefault="00B41D3D" w:rsidP="00B41D3D">
      <w:pPr>
        <w:pStyle w:val="Bibliography"/>
      </w:pPr>
    </w:p>
    <w:p w14:paraId="6CDF2DF2" w14:textId="77777777" w:rsidR="00B41D3D" w:rsidRDefault="00B41D3D" w:rsidP="00B41D3D">
      <w:pPr>
        <w:pStyle w:val="Bibliography"/>
      </w:pPr>
    </w:p>
    <w:p w14:paraId="48F28BA8" w14:textId="77777777" w:rsidR="00B41D3D" w:rsidRDefault="00B41D3D" w:rsidP="00B41D3D">
      <w:pPr>
        <w:pStyle w:val="Bibliography"/>
      </w:pPr>
    </w:p>
    <w:p w14:paraId="1BE497DB" w14:textId="77777777" w:rsidR="00B41D3D" w:rsidRDefault="00B41D3D" w:rsidP="00B41D3D">
      <w:pPr>
        <w:pStyle w:val="Bibliography"/>
      </w:pPr>
    </w:p>
    <w:p w14:paraId="2BA26EA6" w14:textId="77777777" w:rsidR="00B41D3D" w:rsidRDefault="00B41D3D" w:rsidP="00B41D3D">
      <w:pPr>
        <w:pStyle w:val="Bibliography"/>
      </w:pPr>
    </w:p>
    <w:p w14:paraId="117B91BA" w14:textId="77777777" w:rsidR="00B41D3D" w:rsidRDefault="00B41D3D" w:rsidP="00B41D3D">
      <w:pPr>
        <w:pStyle w:val="Bibliography"/>
      </w:pPr>
    </w:p>
    <w:p w14:paraId="4C92419E" w14:textId="77777777" w:rsidR="00B41D3D" w:rsidRDefault="00B41D3D" w:rsidP="00B41D3D">
      <w:pPr>
        <w:pStyle w:val="Bibliography"/>
      </w:pPr>
    </w:p>
    <w:p w14:paraId="21EC3B51" w14:textId="77777777" w:rsidR="00B41D3D" w:rsidRDefault="00B41D3D" w:rsidP="00B41D3D">
      <w:pPr>
        <w:pStyle w:val="Bibliography"/>
      </w:pPr>
    </w:p>
    <w:p w14:paraId="7EAC61FF" w14:textId="77777777" w:rsidR="00B41D3D" w:rsidRDefault="00B41D3D" w:rsidP="00B41D3D">
      <w:pPr>
        <w:pStyle w:val="Bibliography"/>
      </w:pPr>
    </w:p>
    <w:p w14:paraId="36387018" w14:textId="77777777" w:rsidR="00B41D3D" w:rsidRDefault="00B41D3D" w:rsidP="00B41D3D">
      <w:pPr>
        <w:pStyle w:val="Bibliography"/>
      </w:pPr>
    </w:p>
    <w:p w14:paraId="2E311752" w14:textId="77777777" w:rsidR="00B41D3D" w:rsidRDefault="00B41D3D" w:rsidP="00B41D3D">
      <w:pPr>
        <w:pStyle w:val="Bibliography"/>
      </w:pPr>
    </w:p>
    <w:p w14:paraId="2C586D05" w14:textId="77777777" w:rsidR="00B41D3D" w:rsidRDefault="00B41D3D" w:rsidP="00B41D3D">
      <w:pPr>
        <w:pStyle w:val="Bibliography"/>
      </w:pPr>
    </w:p>
    <w:p w14:paraId="575B368D" w14:textId="77777777" w:rsidR="00B41D3D" w:rsidRDefault="00B41D3D" w:rsidP="00B41D3D">
      <w:pPr>
        <w:pStyle w:val="Bibliography"/>
      </w:pPr>
    </w:p>
    <w:p w14:paraId="6148A1FA" w14:textId="77777777" w:rsidR="00B41D3D" w:rsidRDefault="00B41D3D" w:rsidP="00B41D3D">
      <w:pPr>
        <w:pStyle w:val="Bibliography"/>
      </w:pPr>
    </w:p>
    <w:p w14:paraId="3A7ADD18" w14:textId="77777777" w:rsidR="00B41D3D" w:rsidRDefault="00B41D3D" w:rsidP="00B41D3D">
      <w:pPr>
        <w:pStyle w:val="Bibliography"/>
      </w:pPr>
    </w:p>
    <w:p w14:paraId="1680C36E" w14:textId="77777777" w:rsidR="00B41D3D" w:rsidRDefault="00B41D3D" w:rsidP="00B41D3D">
      <w:pPr>
        <w:pStyle w:val="Bibliography"/>
      </w:pPr>
    </w:p>
    <w:p w14:paraId="64D6010A" w14:textId="77777777" w:rsidR="00B41D3D" w:rsidRDefault="00B41D3D" w:rsidP="00B41D3D">
      <w:pPr>
        <w:pStyle w:val="Bibliography"/>
      </w:pPr>
    </w:p>
    <w:p w14:paraId="00F2D1AD" w14:textId="77777777" w:rsidR="00B41D3D" w:rsidRDefault="00B41D3D" w:rsidP="00B41D3D">
      <w:pPr>
        <w:pStyle w:val="Bibliography"/>
      </w:pPr>
    </w:p>
    <w:p w14:paraId="7E6282AE" w14:textId="77777777" w:rsidR="00B41D3D" w:rsidRDefault="00B41D3D" w:rsidP="00B41D3D">
      <w:pPr>
        <w:pStyle w:val="Bibliography"/>
      </w:pPr>
    </w:p>
    <w:p w14:paraId="243C4D31" w14:textId="77777777" w:rsidR="00B41D3D" w:rsidRDefault="00B41D3D" w:rsidP="00B41D3D">
      <w:pPr>
        <w:pStyle w:val="Bibliography"/>
      </w:pPr>
    </w:p>
    <w:p w14:paraId="386A191B" w14:textId="77777777" w:rsidR="00B41D3D" w:rsidRDefault="00B41D3D" w:rsidP="00B41D3D">
      <w:pPr>
        <w:pStyle w:val="Bibliography"/>
      </w:pPr>
    </w:p>
    <w:p w14:paraId="59520583" w14:textId="77777777" w:rsidR="00B41D3D" w:rsidRDefault="00B41D3D" w:rsidP="00B41D3D">
      <w:pPr>
        <w:pStyle w:val="Bibliography"/>
      </w:pPr>
    </w:p>
    <w:p w14:paraId="3AAA513A" w14:textId="77777777" w:rsidR="00B41D3D" w:rsidRDefault="00B41D3D" w:rsidP="00B41D3D">
      <w:pPr>
        <w:pStyle w:val="Bibliography"/>
      </w:pPr>
    </w:p>
    <w:p w14:paraId="32FAE15B" w14:textId="77777777" w:rsidR="00B41D3D" w:rsidRDefault="00B41D3D" w:rsidP="00B41D3D">
      <w:pPr>
        <w:pStyle w:val="Bibliography"/>
      </w:pPr>
    </w:p>
    <w:p w14:paraId="5DA43E3E" w14:textId="77777777" w:rsidR="00B41D3D" w:rsidRDefault="00B41D3D" w:rsidP="00B41D3D">
      <w:pPr>
        <w:pStyle w:val="Bibliography"/>
      </w:pPr>
      <w:r>
        <w:t>Reference</w:t>
      </w:r>
    </w:p>
    <w:p w14:paraId="05275F53" w14:textId="77777777" w:rsidR="00DA203A" w:rsidRPr="00DA203A" w:rsidRDefault="00B41D3D" w:rsidP="00DA203A">
      <w:pPr>
        <w:pStyle w:val="Bibliography"/>
        <w:rPr>
          <w:rFonts w:ascii="Calibri" w:hAnsi="Calibri" w:cs="Calibri"/>
          <w:sz w:val="24"/>
        </w:rPr>
      </w:pPr>
      <w:r>
        <w:fldChar w:fldCharType="begin"/>
      </w:r>
      <w:r w:rsidR="005F33C6">
        <w:instrText xml:space="preserve"> ADDIN ZOTERO_BIBL {"custom":[]} CSL_BIBLIOGRAPHY </w:instrText>
      </w:r>
      <w:r>
        <w:fldChar w:fldCharType="separate"/>
      </w:r>
      <w:r w:rsidR="00DA203A" w:rsidRPr="00DA203A">
        <w:rPr>
          <w:rFonts w:ascii="Calibri" w:hAnsi="Calibri" w:cs="Calibri"/>
          <w:sz w:val="24"/>
        </w:rPr>
        <w:t>1.</w:t>
      </w:r>
      <w:r w:rsidR="00DA203A" w:rsidRPr="00DA203A">
        <w:rPr>
          <w:rFonts w:ascii="Calibri" w:hAnsi="Calibri" w:cs="Calibri"/>
          <w:sz w:val="24"/>
        </w:rPr>
        <w:tab/>
        <w:t xml:space="preserve">Groot, A. D. </w:t>
      </w:r>
      <w:r w:rsidR="00DA203A" w:rsidRPr="00DA203A">
        <w:rPr>
          <w:rFonts w:ascii="Calibri" w:hAnsi="Calibri" w:cs="Calibri"/>
          <w:i/>
          <w:iCs/>
          <w:sz w:val="24"/>
        </w:rPr>
        <w:t>et al.</w:t>
      </w:r>
      <w:r w:rsidR="00DA203A" w:rsidRPr="00DA203A">
        <w:rPr>
          <w:rFonts w:ascii="Calibri" w:hAnsi="Calibri" w:cs="Calibri"/>
          <w:sz w:val="24"/>
        </w:rPr>
        <w:t xml:space="preserve"> Equity in maternal health outcomes in a middle-income urban setting: a cohort study.</w:t>
      </w:r>
    </w:p>
    <w:p w14:paraId="5280A2BB" w14:textId="77777777" w:rsidR="00DA203A" w:rsidRPr="00DA203A" w:rsidRDefault="00DA203A" w:rsidP="00DA203A">
      <w:pPr>
        <w:pStyle w:val="Bibliography"/>
        <w:rPr>
          <w:rFonts w:ascii="Calibri" w:hAnsi="Calibri" w:cs="Calibri"/>
          <w:sz w:val="24"/>
        </w:rPr>
      </w:pPr>
      <w:r w:rsidRPr="00DA203A">
        <w:rPr>
          <w:rFonts w:ascii="Calibri" w:hAnsi="Calibri" w:cs="Calibri"/>
          <w:sz w:val="24"/>
        </w:rPr>
        <w:t>2.</w:t>
      </w:r>
      <w:r w:rsidRPr="00DA203A">
        <w:rPr>
          <w:rFonts w:ascii="Calibri" w:hAnsi="Calibri" w:cs="Calibri"/>
          <w:sz w:val="24"/>
        </w:rPr>
        <w:tab/>
        <w:t xml:space="preserve">Tranquilli, A. L. </w:t>
      </w:r>
      <w:r w:rsidRPr="00DA203A">
        <w:rPr>
          <w:rFonts w:ascii="Calibri" w:hAnsi="Calibri" w:cs="Calibri"/>
          <w:i/>
          <w:iCs/>
          <w:sz w:val="24"/>
        </w:rPr>
        <w:t>et al.</w:t>
      </w:r>
      <w:r w:rsidRPr="00DA203A">
        <w:rPr>
          <w:rFonts w:ascii="Calibri" w:hAnsi="Calibri" w:cs="Calibri"/>
          <w:sz w:val="24"/>
        </w:rPr>
        <w:t xml:space="preserve"> The classification, diagnosis and management of the hypertensive disorders of pregnancy: A revised statement from the ISSHP. </w:t>
      </w:r>
      <w:r w:rsidRPr="00DA203A">
        <w:rPr>
          <w:rFonts w:ascii="Calibri" w:hAnsi="Calibri" w:cs="Calibri"/>
          <w:i/>
          <w:iCs/>
          <w:sz w:val="24"/>
        </w:rPr>
        <w:t>Pregnancy Hypertens. Int. J. Womens Cardiovasc. Health</w:t>
      </w:r>
      <w:r w:rsidRPr="00DA203A">
        <w:rPr>
          <w:rFonts w:ascii="Calibri" w:hAnsi="Calibri" w:cs="Calibri"/>
          <w:sz w:val="24"/>
        </w:rPr>
        <w:t xml:space="preserve"> </w:t>
      </w:r>
      <w:r w:rsidRPr="00DA203A">
        <w:rPr>
          <w:rFonts w:ascii="Calibri" w:hAnsi="Calibri" w:cs="Calibri"/>
          <w:b/>
          <w:bCs/>
          <w:sz w:val="24"/>
        </w:rPr>
        <w:t>4</w:t>
      </w:r>
      <w:r w:rsidRPr="00DA203A">
        <w:rPr>
          <w:rFonts w:ascii="Calibri" w:hAnsi="Calibri" w:cs="Calibri"/>
          <w:sz w:val="24"/>
        </w:rPr>
        <w:t>, 97–104 (2014).</w:t>
      </w:r>
    </w:p>
    <w:p w14:paraId="2BEFC6E3" w14:textId="77777777" w:rsidR="00DA203A" w:rsidRPr="00DA203A" w:rsidRDefault="00DA203A" w:rsidP="00DA203A">
      <w:pPr>
        <w:pStyle w:val="Bibliography"/>
        <w:rPr>
          <w:rFonts w:ascii="Calibri" w:hAnsi="Calibri" w:cs="Calibri"/>
          <w:sz w:val="24"/>
        </w:rPr>
      </w:pPr>
      <w:r w:rsidRPr="00DA203A">
        <w:rPr>
          <w:rFonts w:ascii="Calibri" w:hAnsi="Calibri" w:cs="Calibri"/>
          <w:sz w:val="24"/>
        </w:rPr>
        <w:t>3.</w:t>
      </w:r>
      <w:r w:rsidRPr="00DA203A">
        <w:rPr>
          <w:rFonts w:ascii="Calibri" w:hAnsi="Calibri" w:cs="Calibri"/>
          <w:sz w:val="24"/>
        </w:rPr>
        <w:tab/>
        <w:t xml:space="preserve">Brown, M. A., Lindheimer, M. D., Swiet, M. de, Assche, A. V. &amp; Moutquin, J.-M. The Classification and Diagnosis of the Hypertensive Disorders of Pregnancy: Statement from the International Society for the Study of Hypertension in Pregnancy (ISSHP). </w:t>
      </w:r>
      <w:r w:rsidRPr="00DA203A">
        <w:rPr>
          <w:rFonts w:ascii="Calibri" w:hAnsi="Calibri" w:cs="Calibri"/>
          <w:i/>
          <w:iCs/>
          <w:sz w:val="24"/>
        </w:rPr>
        <w:t>Hypertens. Pregnancy</w:t>
      </w:r>
      <w:r w:rsidRPr="00DA203A">
        <w:rPr>
          <w:rFonts w:ascii="Calibri" w:hAnsi="Calibri" w:cs="Calibri"/>
          <w:sz w:val="24"/>
        </w:rPr>
        <w:t xml:space="preserve"> </w:t>
      </w:r>
      <w:r w:rsidRPr="00DA203A">
        <w:rPr>
          <w:rFonts w:ascii="Calibri" w:hAnsi="Calibri" w:cs="Calibri"/>
          <w:b/>
          <w:bCs/>
          <w:sz w:val="24"/>
        </w:rPr>
        <w:t>20</w:t>
      </w:r>
      <w:r w:rsidRPr="00DA203A">
        <w:rPr>
          <w:rFonts w:ascii="Calibri" w:hAnsi="Calibri" w:cs="Calibri"/>
          <w:sz w:val="24"/>
        </w:rPr>
        <w:t>, ix–xiv (2001).</w:t>
      </w:r>
    </w:p>
    <w:p w14:paraId="28ADBBF9" w14:textId="77777777" w:rsidR="00DA203A" w:rsidRPr="00DA203A" w:rsidRDefault="00DA203A" w:rsidP="00DA203A">
      <w:pPr>
        <w:pStyle w:val="Bibliography"/>
        <w:rPr>
          <w:rFonts w:ascii="Calibri" w:hAnsi="Calibri" w:cs="Calibri"/>
          <w:sz w:val="24"/>
        </w:rPr>
      </w:pPr>
      <w:r w:rsidRPr="00DA203A">
        <w:rPr>
          <w:rFonts w:ascii="Calibri" w:hAnsi="Calibri" w:cs="Calibri"/>
          <w:sz w:val="24"/>
        </w:rPr>
        <w:t>4.</w:t>
      </w:r>
      <w:r w:rsidRPr="00DA203A">
        <w:rPr>
          <w:rFonts w:ascii="Calibri" w:hAnsi="Calibri" w:cs="Calibri"/>
          <w:sz w:val="24"/>
        </w:rPr>
        <w:tab/>
        <w:t xml:space="preserve">Steegers, E. A. P., von Dadelszen, P., Duvekot, J. J. &amp; Pijnenborg, R. Pre-eclampsia. </w:t>
      </w:r>
      <w:r w:rsidRPr="00DA203A">
        <w:rPr>
          <w:rFonts w:ascii="Calibri" w:hAnsi="Calibri" w:cs="Calibri"/>
          <w:i/>
          <w:iCs/>
          <w:sz w:val="24"/>
        </w:rPr>
        <w:t>Lancet Lond. Engl.</w:t>
      </w:r>
      <w:r w:rsidRPr="00DA203A">
        <w:rPr>
          <w:rFonts w:ascii="Calibri" w:hAnsi="Calibri" w:cs="Calibri"/>
          <w:sz w:val="24"/>
        </w:rPr>
        <w:t xml:space="preserve"> </w:t>
      </w:r>
      <w:r w:rsidRPr="00DA203A">
        <w:rPr>
          <w:rFonts w:ascii="Calibri" w:hAnsi="Calibri" w:cs="Calibri"/>
          <w:b/>
          <w:bCs/>
          <w:sz w:val="24"/>
        </w:rPr>
        <w:t>376</w:t>
      </w:r>
      <w:r w:rsidRPr="00DA203A">
        <w:rPr>
          <w:rFonts w:ascii="Calibri" w:hAnsi="Calibri" w:cs="Calibri"/>
          <w:sz w:val="24"/>
        </w:rPr>
        <w:t>, 631–644 (2010).</w:t>
      </w:r>
    </w:p>
    <w:p w14:paraId="2C10FA34" w14:textId="77777777" w:rsidR="00DA203A" w:rsidRPr="00DA203A" w:rsidRDefault="00DA203A" w:rsidP="00DA203A">
      <w:pPr>
        <w:pStyle w:val="Bibliography"/>
        <w:rPr>
          <w:rFonts w:ascii="Calibri" w:hAnsi="Calibri" w:cs="Calibri"/>
          <w:sz w:val="24"/>
        </w:rPr>
      </w:pPr>
      <w:r w:rsidRPr="00DA203A">
        <w:rPr>
          <w:rFonts w:ascii="Calibri" w:hAnsi="Calibri" w:cs="Calibri"/>
          <w:sz w:val="24"/>
        </w:rPr>
        <w:lastRenderedPageBreak/>
        <w:t>5.</w:t>
      </w:r>
      <w:r w:rsidRPr="00DA203A">
        <w:rPr>
          <w:rFonts w:ascii="Calibri" w:hAnsi="Calibri" w:cs="Calibri"/>
          <w:sz w:val="24"/>
        </w:rPr>
        <w:tab/>
        <w:t xml:space="preserve">Nguyen, R. &amp; Wilcox, A. Terms in reproductive and perinatal epidemiology: I. Reproductive terms. </w:t>
      </w:r>
      <w:r w:rsidRPr="00DA203A">
        <w:rPr>
          <w:rFonts w:ascii="Calibri" w:hAnsi="Calibri" w:cs="Calibri"/>
          <w:i/>
          <w:iCs/>
          <w:sz w:val="24"/>
        </w:rPr>
        <w:t>J. Epidemiol. Community Health</w:t>
      </w:r>
      <w:r w:rsidRPr="00DA203A">
        <w:rPr>
          <w:rFonts w:ascii="Calibri" w:hAnsi="Calibri" w:cs="Calibri"/>
          <w:sz w:val="24"/>
        </w:rPr>
        <w:t xml:space="preserve"> </w:t>
      </w:r>
      <w:r w:rsidRPr="00DA203A">
        <w:rPr>
          <w:rFonts w:ascii="Calibri" w:hAnsi="Calibri" w:cs="Calibri"/>
          <w:b/>
          <w:bCs/>
          <w:sz w:val="24"/>
        </w:rPr>
        <w:t>59</w:t>
      </w:r>
      <w:r w:rsidRPr="00DA203A">
        <w:rPr>
          <w:rFonts w:ascii="Calibri" w:hAnsi="Calibri" w:cs="Calibri"/>
          <w:sz w:val="24"/>
        </w:rPr>
        <w:t>, 916–919 (2005).</w:t>
      </w:r>
    </w:p>
    <w:p w14:paraId="225B5FF4" w14:textId="77777777" w:rsidR="00DA203A" w:rsidRPr="00DA203A" w:rsidRDefault="00DA203A" w:rsidP="00DA203A">
      <w:pPr>
        <w:pStyle w:val="Bibliography"/>
        <w:rPr>
          <w:rFonts w:ascii="Calibri" w:hAnsi="Calibri" w:cs="Calibri"/>
          <w:sz w:val="24"/>
        </w:rPr>
      </w:pPr>
      <w:r w:rsidRPr="00DA203A">
        <w:rPr>
          <w:rFonts w:ascii="Calibri" w:hAnsi="Calibri" w:cs="Calibri"/>
          <w:sz w:val="24"/>
        </w:rPr>
        <w:t>6.</w:t>
      </w:r>
      <w:r w:rsidRPr="00DA203A">
        <w:rPr>
          <w:rFonts w:ascii="Calibri" w:hAnsi="Calibri" w:cs="Calibri"/>
          <w:sz w:val="24"/>
        </w:rPr>
        <w:tab/>
        <w:t xml:space="preserve">Nguyen, R. &amp; Wilcox, A. Terms in reproductive and perinatal epidemiology: 2. Perinatal terms. </w:t>
      </w:r>
      <w:r w:rsidRPr="00DA203A">
        <w:rPr>
          <w:rFonts w:ascii="Calibri" w:hAnsi="Calibri" w:cs="Calibri"/>
          <w:i/>
          <w:iCs/>
          <w:sz w:val="24"/>
        </w:rPr>
        <w:t>J. Epidemiol. Community Health</w:t>
      </w:r>
      <w:r w:rsidRPr="00DA203A">
        <w:rPr>
          <w:rFonts w:ascii="Calibri" w:hAnsi="Calibri" w:cs="Calibri"/>
          <w:sz w:val="24"/>
        </w:rPr>
        <w:t xml:space="preserve"> </w:t>
      </w:r>
      <w:r w:rsidRPr="00DA203A">
        <w:rPr>
          <w:rFonts w:ascii="Calibri" w:hAnsi="Calibri" w:cs="Calibri"/>
          <w:b/>
          <w:bCs/>
          <w:sz w:val="24"/>
        </w:rPr>
        <w:t>59</w:t>
      </w:r>
      <w:r w:rsidRPr="00DA203A">
        <w:rPr>
          <w:rFonts w:ascii="Calibri" w:hAnsi="Calibri" w:cs="Calibri"/>
          <w:sz w:val="24"/>
        </w:rPr>
        <w:t>, 1019–1021 (2005).</w:t>
      </w:r>
    </w:p>
    <w:p w14:paraId="267CDCEC" w14:textId="77777777" w:rsidR="00DA203A" w:rsidRPr="00DA203A" w:rsidRDefault="00DA203A" w:rsidP="00DA203A">
      <w:pPr>
        <w:pStyle w:val="Bibliography"/>
        <w:rPr>
          <w:rFonts w:ascii="Calibri" w:hAnsi="Calibri" w:cs="Calibri"/>
          <w:sz w:val="24"/>
        </w:rPr>
      </w:pPr>
      <w:r w:rsidRPr="00DA203A">
        <w:rPr>
          <w:rFonts w:ascii="Calibri" w:hAnsi="Calibri" w:cs="Calibri"/>
          <w:sz w:val="24"/>
        </w:rPr>
        <w:t>7.</w:t>
      </w:r>
      <w:r w:rsidRPr="00DA203A">
        <w:rPr>
          <w:rFonts w:ascii="Calibri" w:hAnsi="Calibri" w:cs="Calibri"/>
          <w:sz w:val="24"/>
        </w:rPr>
        <w:tab/>
        <w:t>Standard Terminology for Fetal, Infant, and Perinatal Deaths | From the American Academy of Pediatrics | Pediatrics. Available at: https://pediatrics-aappublications-org.ezproxy.ub.unimaas.nl/content/137/5/e20160551. (Accessed: 3rd July 2019)</w:t>
      </w:r>
    </w:p>
    <w:p w14:paraId="6E3145F2" w14:textId="1F3415F0" w:rsidR="00B41D3D" w:rsidRDefault="00B41D3D" w:rsidP="00B41D3D">
      <w:r>
        <w:rPr>
          <w:sz w:val="24"/>
        </w:rPr>
        <w:fldChar w:fldCharType="end"/>
      </w:r>
    </w:p>
    <w:sectPr w:rsidR="00B41D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051"/>
  </w:docVars>
  <w:rsids>
    <w:rsidRoot w:val="00B41D3D"/>
    <w:rsid w:val="0009599C"/>
    <w:rsid w:val="000C5D2A"/>
    <w:rsid w:val="00127A53"/>
    <w:rsid w:val="00146D0E"/>
    <w:rsid w:val="00180A93"/>
    <w:rsid w:val="00310A38"/>
    <w:rsid w:val="004106F8"/>
    <w:rsid w:val="00437879"/>
    <w:rsid w:val="00482F2D"/>
    <w:rsid w:val="005F33C6"/>
    <w:rsid w:val="00640E94"/>
    <w:rsid w:val="007676B9"/>
    <w:rsid w:val="007B2B18"/>
    <w:rsid w:val="00834763"/>
    <w:rsid w:val="008D07A8"/>
    <w:rsid w:val="009D1646"/>
    <w:rsid w:val="00A36F9D"/>
    <w:rsid w:val="00B37FA3"/>
    <w:rsid w:val="00B41D3D"/>
    <w:rsid w:val="00D20576"/>
    <w:rsid w:val="00DA203A"/>
    <w:rsid w:val="00DD0469"/>
    <w:rsid w:val="00F566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B41D3D"/>
    <w:pPr>
      <w:tabs>
        <w:tab w:val="left" w:pos="264"/>
      </w:tabs>
      <w:spacing w:after="0" w:line="480" w:lineRule="auto"/>
      <w:ind w:left="264" w:hanging="264"/>
    </w:pPr>
  </w:style>
  <w:style w:type="paragraph" w:styleId="BalloonText">
    <w:name w:val="Balloon Text"/>
    <w:basedOn w:val="Normal"/>
    <w:link w:val="BalloonTextChar"/>
    <w:uiPriority w:val="99"/>
    <w:semiHidden/>
    <w:unhideWhenUsed/>
    <w:rsid w:val="00F56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6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B41D3D"/>
    <w:pPr>
      <w:tabs>
        <w:tab w:val="left" w:pos="264"/>
      </w:tabs>
      <w:spacing w:after="0" w:line="480" w:lineRule="auto"/>
      <w:ind w:left="264" w:hanging="264"/>
    </w:pPr>
  </w:style>
  <w:style w:type="paragraph" w:styleId="BalloonText">
    <w:name w:val="Balloon Text"/>
    <w:basedOn w:val="Normal"/>
    <w:link w:val="BalloonTextChar"/>
    <w:uiPriority w:val="99"/>
    <w:semiHidden/>
    <w:unhideWhenUsed/>
    <w:rsid w:val="00F56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6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801D1-F324-43FE-BCBC-D30933C1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7</Pages>
  <Words>4120</Words>
  <Characters>23031</Characters>
  <Application>Microsoft Office Word</Application>
  <DocSecurity>0</DocSecurity>
  <Lines>1535</Lines>
  <Paragraphs>905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Eartha Weber</dc:creator>
  <cp:keywords/>
  <dc:description/>
  <cp:lastModifiedBy>OC32</cp:lastModifiedBy>
  <cp:revision>3</cp:revision>
  <dcterms:created xsi:type="dcterms:W3CDTF">2019-07-02T22:13:00Z</dcterms:created>
  <dcterms:modified xsi:type="dcterms:W3CDTF">2020-02-04T23:18:00Z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id="rGzZ0Bk9"/&gt;&lt;style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