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91B" w:rsidRPr="00AE3F35" w:rsidRDefault="0070491B" w:rsidP="0070491B">
      <w:pPr>
        <w:rPr>
          <w:b/>
        </w:rPr>
      </w:pPr>
      <w:r>
        <w:rPr>
          <w:b/>
        </w:rPr>
        <w:t>Additional</w:t>
      </w:r>
      <w:r w:rsidRPr="00AE3F35">
        <w:rPr>
          <w:b/>
        </w:rPr>
        <w:t xml:space="preserve"> file </w:t>
      </w:r>
      <w:r>
        <w:rPr>
          <w:b/>
        </w:rPr>
        <w:t>3</w:t>
      </w:r>
      <w:r w:rsidRPr="00AE3F35">
        <w:rPr>
          <w:b/>
        </w:rPr>
        <w:t xml:space="preserve">: </w:t>
      </w:r>
      <w:r w:rsidRPr="000B5284">
        <w:t>Newcastle Ottawa</w:t>
      </w:r>
      <w:r>
        <w:rPr>
          <w:b/>
        </w:rPr>
        <w:t xml:space="preserve"> (</w:t>
      </w:r>
      <w:r w:rsidRPr="000B5284">
        <w:t>NOS</w:t>
      </w:r>
      <w:r>
        <w:t>)</w:t>
      </w:r>
      <w:r w:rsidRPr="000B5284">
        <w:t xml:space="preserve"> critical appraisal evaluation for Cross sectional </w:t>
      </w:r>
      <w:r>
        <w:t xml:space="preserve">and Cohort </w:t>
      </w:r>
      <w:r w:rsidRPr="000B5284">
        <w:t>studies</w:t>
      </w:r>
      <w:bookmarkStart w:id="0" w:name="_GoBack"/>
      <w:bookmarkEnd w:id="0"/>
    </w:p>
    <w:tbl>
      <w:tblPr>
        <w:tblStyle w:val="TableGrid"/>
        <w:tblW w:w="4978" w:type="pct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2738"/>
        <w:gridCol w:w="2128"/>
        <w:gridCol w:w="912"/>
        <w:gridCol w:w="1368"/>
        <w:gridCol w:w="1824"/>
        <w:gridCol w:w="1827"/>
        <w:gridCol w:w="1368"/>
        <w:gridCol w:w="1222"/>
        <w:gridCol w:w="760"/>
      </w:tblGrid>
      <w:tr w:rsidR="0070491B" w:rsidRPr="00163721" w:rsidTr="00CD7CB1">
        <w:trPr>
          <w:trHeight w:val="841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S.n</w:t>
            </w:r>
            <w:r w:rsidRPr="00163721">
              <w:rPr>
                <w:b/>
                <w:bCs/>
                <w:color w:val="000000"/>
                <w:sz w:val="20"/>
                <w:szCs w:val="20"/>
                <w:u w:val="single"/>
                <w:lang w:val="en-AU" w:eastAsia="en-AU"/>
              </w:rPr>
              <w:t>o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(Author, Year of pub.</w:t>
            </w: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)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Representativeness of the sample 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Sample size 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bookmarkStart w:id="1" w:name="RANGE!J2"/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Non respondent </w:t>
            </w:r>
          </w:p>
          <w:bookmarkEnd w:id="1"/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612" w:type="pct"/>
            <w:hideMark/>
          </w:tcPr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Ascertainment of the exposure (risk factor) </w:t>
            </w:r>
          </w:p>
        </w:tc>
        <w:tc>
          <w:tcPr>
            <w:tcW w:w="613" w:type="pct"/>
            <w:hideMark/>
          </w:tcPr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Comparability (Confounding factors are controlled)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Assessment of outcome </w:t>
            </w:r>
          </w:p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10" w:type="pct"/>
            <w:hideMark/>
          </w:tcPr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Statistical Analysis </w:t>
            </w:r>
          </w:p>
        </w:tc>
        <w:tc>
          <w:tcPr>
            <w:tcW w:w="255" w:type="pct"/>
            <w:hideMark/>
          </w:tcPr>
          <w:p w:rsidR="0070491B" w:rsidRPr="00163721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Total score</w:t>
            </w:r>
          </w:p>
        </w:tc>
      </w:tr>
      <w:tr w:rsidR="0070491B" w:rsidRPr="00163721" w:rsidTr="00CD7CB1">
        <w:trPr>
          <w:trHeight w:val="351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919" w:type="pct"/>
            <w:noWrap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6A6CD2">
              <w:rPr>
                <w:color w:val="000000"/>
                <w:sz w:val="20"/>
                <w:szCs w:val="20"/>
                <w:lang w:val="en-AU" w:eastAsia="en-AU"/>
              </w:rPr>
              <w:t>Abujilban SK., et al, 2013</w:t>
            </w:r>
          </w:p>
        </w:tc>
        <w:tc>
          <w:tcPr>
            <w:tcW w:w="714" w:type="pct"/>
            <w:noWrap/>
          </w:tcPr>
          <w:p w:rsidR="0070491B" w:rsidRPr="00C73F39" w:rsidRDefault="0070491B" w:rsidP="00CD7CB1">
            <w:pPr>
              <w:jc w:val="center"/>
              <w:rPr>
                <w:sz w:val="20"/>
                <w:szCs w:val="20"/>
                <w:lang w:val="en-AU" w:eastAsia="en-AU"/>
              </w:rPr>
            </w:pPr>
            <w:r>
              <w:rPr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306" w:type="pct"/>
            <w:noWrap/>
          </w:tcPr>
          <w:p w:rsidR="0070491B" w:rsidRPr="00C532AD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</w:tcPr>
          <w:p w:rsidR="0070491B" w:rsidRPr="00C73F39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3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Adewuya AO., et al, 2007</w:t>
            </w:r>
          </w:p>
        </w:tc>
        <w:tc>
          <w:tcPr>
            <w:tcW w:w="714" w:type="pct"/>
            <w:noWrap/>
            <w:hideMark/>
          </w:tcPr>
          <w:p w:rsidR="0070491B" w:rsidRPr="00DE7773" w:rsidRDefault="0070491B" w:rsidP="00CD7CB1">
            <w:pPr>
              <w:jc w:val="center"/>
              <w:rPr>
                <w:color w:val="00B0F0"/>
                <w:sz w:val="20"/>
                <w:szCs w:val="20"/>
                <w:highlight w:val="cyan"/>
                <w:lang w:val="en-AU" w:eastAsia="en-AU"/>
              </w:rPr>
            </w:pPr>
            <w:r w:rsidRPr="00C73F39">
              <w:rPr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C532AD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C73F39"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267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Anindyajati G., et al, 2017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C73F39"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C532AD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C532AD"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4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Belay YB., et al, 2018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5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Biratu A., et al, 2015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Bisetegn TA., et al, 2016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Dong X., et al, 2013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Dudas R., at al, 2012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9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Duko B., et al, 2019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10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Gao L., et al, 2019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11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Golbasi Z., et al, 2010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12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Gourounti K., et al, 2013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13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Herbell K., et al, 2019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81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14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Jeong H., et al, 2013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Lau Y., et al, 2011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297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16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Pajulo M., et al, 2001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17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Rashid A., et al, 2017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18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Shafaie FS., et al, 2017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  <w:r w:rsidRPr="00163721">
              <w:rPr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19</w:t>
            </w:r>
          </w:p>
        </w:tc>
        <w:tc>
          <w:tcPr>
            <w:tcW w:w="919" w:type="pct"/>
            <w:noWrap/>
            <w:hideMark/>
          </w:tcPr>
          <w:p w:rsidR="0070491B" w:rsidRPr="00EB555B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Spoozak L., et al, 2008</w:t>
            </w:r>
          </w:p>
        </w:tc>
        <w:tc>
          <w:tcPr>
            <w:tcW w:w="714" w:type="pct"/>
            <w:noWrap/>
            <w:hideMark/>
          </w:tcPr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2" w:type="pct"/>
            <w:noWrap/>
            <w:hideMark/>
          </w:tcPr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3" w:type="pct"/>
            <w:noWrap/>
            <w:hideMark/>
          </w:tcPr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EB555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EB555B"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20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Stewart RC., et al, 2014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21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Verreault N., et al, 2014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lastRenderedPageBreak/>
              <w:t>22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Yanikkerem E., at al, 2013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416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23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Zeng Y., et al, 2015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79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24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Sahile MA., et al, 2017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25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Records C., et al, 2007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79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26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Waqas A., et al, 20115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27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Jesse ED., et l, 2005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33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28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Blaney NT., et al, 2004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29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Gausia k., et al, 2009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Shidhaye P., et al, 2017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31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31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Hartley M., et al, 2011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30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32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Rwakarema M et al, 2015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29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33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Heyningen T et al, 2015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290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34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Onah MN., et al, 2016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2 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434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35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Couto T., et al, 20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15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0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405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36</w:t>
            </w:r>
          </w:p>
        </w:tc>
        <w:tc>
          <w:tcPr>
            <w:tcW w:w="919" w:type="pct"/>
            <w:noWrap/>
            <w:hideMark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Pinheiro RT., et al</w:t>
            </w:r>
            <w:r>
              <w:rPr>
                <w:color w:val="000000"/>
                <w:sz w:val="20"/>
                <w:szCs w:val="20"/>
                <w:lang w:val="en-AU" w:eastAsia="en-AU"/>
              </w:rPr>
              <w:t>, 2011</w:t>
            </w:r>
          </w:p>
        </w:tc>
        <w:tc>
          <w:tcPr>
            <w:tcW w:w="714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</w:t>
            </w:r>
          </w:p>
        </w:tc>
        <w:tc>
          <w:tcPr>
            <w:tcW w:w="306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12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 2</w:t>
            </w:r>
          </w:p>
        </w:tc>
        <w:tc>
          <w:tcPr>
            <w:tcW w:w="410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 w:rsidRPr="00163721">
              <w:rPr>
                <w:color w:val="000000"/>
                <w:sz w:val="20"/>
                <w:szCs w:val="20"/>
                <w:lang w:val="en-AU" w:eastAsia="en-AU"/>
              </w:rPr>
              <w:t> 1 </w:t>
            </w:r>
          </w:p>
        </w:tc>
        <w:tc>
          <w:tcPr>
            <w:tcW w:w="255" w:type="pct"/>
            <w:noWrap/>
            <w:hideMark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405"/>
          <w:jc w:val="center"/>
        </w:trPr>
        <w:tc>
          <w:tcPr>
            <w:tcW w:w="253" w:type="pct"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37</w:t>
            </w:r>
          </w:p>
        </w:tc>
        <w:tc>
          <w:tcPr>
            <w:tcW w:w="919" w:type="pct"/>
            <w:noWrap/>
          </w:tcPr>
          <w:p w:rsidR="0070491B" w:rsidRPr="00163721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 xml:space="preserve">Senturk </w:t>
            </w:r>
            <w:r w:rsidRPr="008778DE">
              <w:rPr>
                <w:color w:val="000000"/>
                <w:sz w:val="20"/>
                <w:szCs w:val="20"/>
                <w:lang w:val="en-AU" w:eastAsia="en-AU"/>
              </w:rPr>
              <w:t>V., et al</w:t>
            </w:r>
            <w:r>
              <w:rPr>
                <w:color w:val="000000"/>
                <w:sz w:val="20"/>
                <w:szCs w:val="20"/>
                <w:lang w:val="en-AU" w:eastAsia="en-AU"/>
              </w:rPr>
              <w:t xml:space="preserve">, </w:t>
            </w:r>
            <w:r w:rsidRPr="00D31E38">
              <w:rPr>
                <w:color w:val="000000"/>
                <w:sz w:val="20"/>
                <w:szCs w:val="20"/>
                <w:lang w:val="en-AU" w:eastAsia="en-AU"/>
              </w:rPr>
              <w:t>2011</w:t>
            </w:r>
          </w:p>
        </w:tc>
        <w:tc>
          <w:tcPr>
            <w:tcW w:w="714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</w:tcPr>
          <w:p w:rsidR="0070491B" w:rsidRPr="00163721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  <w:tr w:rsidR="0070491B" w:rsidRPr="00163721" w:rsidTr="00CD7CB1">
        <w:trPr>
          <w:trHeight w:val="405"/>
          <w:jc w:val="center"/>
        </w:trPr>
        <w:tc>
          <w:tcPr>
            <w:tcW w:w="253" w:type="pct"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38</w:t>
            </w:r>
          </w:p>
        </w:tc>
        <w:tc>
          <w:tcPr>
            <w:tcW w:w="919" w:type="pct"/>
            <w:noWrap/>
          </w:tcPr>
          <w:p w:rsidR="0070491B" w:rsidRDefault="0070491B" w:rsidP="00CD7CB1">
            <w:pPr>
              <w:rPr>
                <w:color w:val="000000"/>
                <w:sz w:val="20"/>
                <w:szCs w:val="20"/>
                <w:lang w:val="en-AU" w:eastAsia="en-AU"/>
              </w:rPr>
            </w:pPr>
            <w:r w:rsidRPr="009C35CB">
              <w:rPr>
                <w:color w:val="000000"/>
                <w:sz w:val="20"/>
                <w:szCs w:val="20"/>
                <w:lang w:val="en-AU" w:eastAsia="en-AU"/>
              </w:rPr>
              <w:t>Glazier RH., et al, 2004</w:t>
            </w:r>
          </w:p>
        </w:tc>
        <w:tc>
          <w:tcPr>
            <w:tcW w:w="714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405"/>
          <w:jc w:val="center"/>
        </w:trPr>
        <w:tc>
          <w:tcPr>
            <w:tcW w:w="253" w:type="pct"/>
          </w:tcPr>
          <w:p w:rsidR="0070491B" w:rsidRPr="00747DD8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39</w:t>
            </w:r>
          </w:p>
        </w:tc>
        <w:tc>
          <w:tcPr>
            <w:tcW w:w="919" w:type="pct"/>
            <w:noWrap/>
            <w:vAlign w:val="center"/>
          </w:tcPr>
          <w:p w:rsidR="0070491B" w:rsidRPr="00747DD8" w:rsidRDefault="0070491B" w:rsidP="00CD7CB1">
            <w:pPr>
              <w:rPr>
                <w:color w:val="000000"/>
                <w:sz w:val="20"/>
                <w:szCs w:val="20"/>
              </w:rPr>
            </w:pPr>
            <w:r w:rsidRPr="00747DD8">
              <w:rPr>
                <w:color w:val="000000"/>
                <w:sz w:val="20"/>
                <w:szCs w:val="20"/>
              </w:rPr>
              <w:t>Dibaba Y., et al, 2013</w:t>
            </w:r>
          </w:p>
        </w:tc>
        <w:tc>
          <w:tcPr>
            <w:tcW w:w="714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306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612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0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405"/>
          <w:jc w:val="center"/>
        </w:trPr>
        <w:tc>
          <w:tcPr>
            <w:tcW w:w="253" w:type="pct"/>
          </w:tcPr>
          <w:p w:rsidR="0070491B" w:rsidRPr="00747DD8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40</w:t>
            </w:r>
          </w:p>
        </w:tc>
        <w:tc>
          <w:tcPr>
            <w:tcW w:w="919" w:type="pct"/>
            <w:noWrap/>
            <w:vAlign w:val="center"/>
          </w:tcPr>
          <w:p w:rsidR="0070491B" w:rsidRPr="00747DD8" w:rsidRDefault="0070491B" w:rsidP="00CD7CB1">
            <w:pPr>
              <w:rPr>
                <w:color w:val="000000"/>
                <w:sz w:val="20"/>
                <w:szCs w:val="20"/>
              </w:rPr>
            </w:pPr>
            <w:r w:rsidRPr="003D4BE1">
              <w:rPr>
                <w:color w:val="000000"/>
                <w:sz w:val="20"/>
                <w:szCs w:val="20"/>
              </w:rPr>
              <w:t>Heyningen T., et al, 2017</w:t>
            </w:r>
          </w:p>
        </w:tc>
        <w:tc>
          <w:tcPr>
            <w:tcW w:w="714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0</w:t>
            </w:r>
          </w:p>
        </w:tc>
        <w:tc>
          <w:tcPr>
            <w:tcW w:w="612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410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7</w:t>
            </w:r>
          </w:p>
        </w:tc>
      </w:tr>
      <w:tr w:rsidR="0070491B" w:rsidRPr="00163721" w:rsidTr="00CD7CB1">
        <w:trPr>
          <w:trHeight w:val="405"/>
          <w:jc w:val="center"/>
        </w:trPr>
        <w:tc>
          <w:tcPr>
            <w:tcW w:w="253" w:type="pct"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41</w:t>
            </w:r>
          </w:p>
        </w:tc>
        <w:tc>
          <w:tcPr>
            <w:tcW w:w="919" w:type="pct"/>
            <w:noWrap/>
            <w:vAlign w:val="center"/>
          </w:tcPr>
          <w:p w:rsidR="0070491B" w:rsidRPr="00DC32E7" w:rsidRDefault="0070491B" w:rsidP="00CD7CB1">
            <w:pPr>
              <w:autoSpaceDE w:val="0"/>
              <w:autoSpaceDN w:val="0"/>
              <w:adjustRightInd w:val="0"/>
              <w:rPr>
                <w:sz w:val="20"/>
                <w:lang w:val="en-AU"/>
              </w:rPr>
            </w:pPr>
            <w:r w:rsidRPr="007D067C">
              <w:rPr>
                <w:sz w:val="20"/>
                <w:lang w:val="en-AU"/>
              </w:rPr>
              <w:t xml:space="preserve">Supraja, TA., et al </w:t>
            </w:r>
            <w:r>
              <w:rPr>
                <w:sz w:val="20"/>
                <w:lang w:val="en-AU"/>
              </w:rPr>
              <w:t xml:space="preserve">, 2016 </w:t>
            </w:r>
          </w:p>
          <w:p w:rsidR="0070491B" w:rsidRPr="003D4BE1" w:rsidRDefault="0070491B" w:rsidP="00CD7CB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306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612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2</w:t>
            </w:r>
          </w:p>
        </w:tc>
        <w:tc>
          <w:tcPr>
            <w:tcW w:w="613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59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410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1</w:t>
            </w:r>
          </w:p>
        </w:tc>
        <w:tc>
          <w:tcPr>
            <w:tcW w:w="255" w:type="pct"/>
            <w:noWrap/>
          </w:tcPr>
          <w:p w:rsidR="0070491B" w:rsidRDefault="0070491B" w:rsidP="00CD7CB1">
            <w:pPr>
              <w:jc w:val="center"/>
              <w:rPr>
                <w:color w:val="000000"/>
                <w:sz w:val="20"/>
                <w:szCs w:val="20"/>
                <w:lang w:val="en-AU" w:eastAsia="en-AU"/>
              </w:rPr>
            </w:pPr>
            <w:r>
              <w:rPr>
                <w:color w:val="000000"/>
                <w:sz w:val="20"/>
                <w:szCs w:val="20"/>
                <w:lang w:val="en-AU" w:eastAsia="en-AU"/>
              </w:rPr>
              <w:t>8</w:t>
            </w:r>
          </w:p>
        </w:tc>
      </w:tr>
    </w:tbl>
    <w:p w:rsidR="0070491B" w:rsidRPr="000B5284" w:rsidRDefault="0070491B" w:rsidP="0070491B">
      <w:r w:rsidRPr="000B5284">
        <w:t>NOS critical appraisal evaluation for Cohort studies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79"/>
        <w:gridCol w:w="1563"/>
        <w:gridCol w:w="1398"/>
        <w:gridCol w:w="1565"/>
        <w:gridCol w:w="1212"/>
        <w:gridCol w:w="1269"/>
        <w:gridCol w:w="1266"/>
        <w:gridCol w:w="1200"/>
        <w:gridCol w:w="781"/>
        <w:gridCol w:w="1027"/>
        <w:gridCol w:w="661"/>
      </w:tblGrid>
      <w:tr w:rsidR="0070491B" w:rsidRPr="0058665C" w:rsidTr="00CD7CB1">
        <w:trPr>
          <w:trHeight w:val="290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58665C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665C">
              <w:rPr>
                <w:b/>
                <w:bCs/>
                <w:color w:val="000000"/>
                <w:sz w:val="20"/>
                <w:szCs w:val="20"/>
              </w:rPr>
              <w:t>S.no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58665C" w:rsidRDefault="0070491B" w:rsidP="00CD7CB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8665C">
              <w:rPr>
                <w:b/>
                <w:bCs/>
                <w:color w:val="000000"/>
                <w:sz w:val="20"/>
                <w:szCs w:val="20"/>
              </w:rPr>
              <w:t>(Author, year of pub.)</w:t>
            </w:r>
          </w:p>
        </w:tc>
        <w:tc>
          <w:tcPr>
            <w:tcW w:w="18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665C">
              <w:rPr>
                <w:b/>
                <w:bCs/>
                <w:color w:val="000000"/>
                <w:sz w:val="20"/>
                <w:szCs w:val="20"/>
              </w:rPr>
              <w:t>Selection domain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5B9BD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58665C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665C">
              <w:rPr>
                <w:b/>
                <w:bCs/>
                <w:color w:val="000000"/>
                <w:sz w:val="20"/>
                <w:szCs w:val="20"/>
              </w:rPr>
              <w:t>Comparability domain</w:t>
            </w:r>
          </w:p>
        </w:tc>
        <w:tc>
          <w:tcPr>
            <w:tcW w:w="10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70AD4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665C">
              <w:rPr>
                <w:b/>
                <w:bCs/>
                <w:color w:val="000000"/>
                <w:sz w:val="20"/>
                <w:szCs w:val="20"/>
              </w:rPr>
              <w:t>Outcome domain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6DCE4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58665C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665C">
              <w:rPr>
                <w:b/>
                <w:bCs/>
                <w:color w:val="000000"/>
                <w:sz w:val="20"/>
                <w:szCs w:val="20"/>
              </w:rPr>
              <w:t>Total score* (9)</w:t>
            </w:r>
          </w:p>
        </w:tc>
      </w:tr>
      <w:tr w:rsidR="0070491B" w:rsidRPr="0058665C" w:rsidTr="00CD7CB1">
        <w:trPr>
          <w:trHeight w:val="123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1B" w:rsidRPr="0058665C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91B" w:rsidRPr="0058665C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Representativeness of exposed cohort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Selection of non-exposed cohort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Ascertainment of exposure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 xml:space="preserve">)           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Outcome of interest was not present at start of study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 xml:space="preserve">)          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Control for age or substance use or chronic medical illness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Control for other variables (2nd important variables)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Assessment of outcome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Follow-up period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0B5284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0B5284">
              <w:rPr>
                <w:color w:val="000000"/>
                <w:sz w:val="20"/>
                <w:szCs w:val="20"/>
              </w:rPr>
              <w:t>Adequacy of follow up (</w:t>
            </w:r>
            <w:r w:rsidRPr="000B5284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  <w:r w:rsidRPr="000B528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91B" w:rsidRPr="0058665C" w:rsidRDefault="0070491B" w:rsidP="00CD7C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Agostini F., et al, 2015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27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Akiki S., et al, 2016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Bayrampour H., et al, 2015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Bernard O., et al, 2018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Cankorur vs., et al, 2015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Chee C., et al, 2005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Cheng E., et al, 2016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Clements AD., et al, 2016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264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Schetter DC., et al, 2016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Fall A., et al, 2013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32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Hain S., et al, 2016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Lee AM., et al, 2007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7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Li Y., et al, 2017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Robertson C.et al, 2002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Sheeba B., et al, 2019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Sidebottom AC., et al, 2017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Xian T., et al, 2019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7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 xml:space="preserve">  18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Woldetensay YK., et al, 2018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Westdahl C., et al, 2008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Nasreen HE ., et al, 2011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7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Leigh B., et al, 2008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Martini J. et al, 2015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Rubertsson C.,et al, 2010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Huang M., et al, 2019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9</w:t>
            </w:r>
          </w:p>
        </w:tc>
      </w:tr>
      <w:tr w:rsidR="0070491B" w:rsidRPr="0058665C" w:rsidTr="00CD7CB1">
        <w:trPr>
          <w:trHeight w:val="29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Marchesi C., et al, 2014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8665C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 w:rsidRPr="0058665C">
              <w:rPr>
                <w:color w:val="000000"/>
                <w:sz w:val="20"/>
                <w:szCs w:val="20"/>
              </w:rPr>
              <w:t>8</w:t>
            </w:r>
          </w:p>
        </w:tc>
      </w:tr>
      <w:tr w:rsidR="0070491B" w:rsidRPr="0058665C" w:rsidTr="00CD7CB1">
        <w:trPr>
          <w:trHeight w:val="29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0491B" w:rsidRPr="0058665C" w:rsidRDefault="0070491B" w:rsidP="00CD7CB1">
            <w:pPr>
              <w:rPr>
                <w:color w:val="000000"/>
                <w:sz w:val="20"/>
                <w:szCs w:val="20"/>
              </w:rPr>
            </w:pPr>
            <w:r w:rsidRPr="006D2F42">
              <w:rPr>
                <w:color w:val="000000"/>
                <w:sz w:val="20"/>
                <w:szCs w:val="20"/>
              </w:rPr>
              <w:t>Hartley M., et al, 2011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rFonts w:ascii="Cambria Math" w:hAnsi="Cambria Math" w:cs="Cambria Math"/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rFonts w:ascii="Cambria Math" w:hAnsi="Cambria Math" w:cs="Cambria Math"/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rFonts w:ascii="Cambria Math" w:hAnsi="Cambria Math" w:cs="Cambria Math"/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rFonts w:ascii="Cambria Math" w:hAnsi="Cambria Math" w:cs="Cambria Math"/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rFonts w:ascii="Cambria Math" w:hAnsi="Cambria Math" w:cs="Cambria Math"/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rFonts w:ascii="Cambria Math" w:hAnsi="Cambria Math" w:cs="Cambria Math"/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rFonts w:ascii="Cambria Math" w:hAnsi="Cambria Math" w:cs="Cambria Math"/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rFonts w:ascii="Cambria Math" w:hAnsi="Cambria Math" w:cs="Cambria Math"/>
                <w:color w:val="000000"/>
                <w:sz w:val="20"/>
                <w:szCs w:val="20"/>
              </w:rPr>
            </w:pPr>
            <w:r w:rsidRPr="0058665C">
              <w:rPr>
                <w:rFonts w:ascii="Cambria Math" w:hAnsi="Cambria Math" w:cs="Cambria Math"/>
                <w:color w:val="000000"/>
                <w:sz w:val="20"/>
                <w:szCs w:val="20"/>
              </w:rPr>
              <w:t>⋆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0491B" w:rsidRPr="0058665C" w:rsidRDefault="0070491B" w:rsidP="00CD7C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</w:tbl>
    <w:p w:rsidR="0070491B" w:rsidRPr="004C1685" w:rsidRDefault="0070491B" w:rsidP="0070491B">
      <w:pPr>
        <w:pStyle w:val="CM1"/>
        <w:spacing w:after="130"/>
        <w:rPr>
          <w:rFonts w:ascii="Arial" w:hAnsi="Arial" w:cs="Arial"/>
        </w:rPr>
      </w:pPr>
      <w:r w:rsidRPr="00D436F2">
        <w:rPr>
          <w:rFonts w:ascii="Times New Roman" w:hAnsi="Times New Roman"/>
          <w:b/>
        </w:rPr>
        <w:t xml:space="preserve">NB: </w:t>
      </w:r>
      <w:r>
        <w:rPr>
          <w:rFonts w:ascii="Times New Roman" w:hAnsi="Times New Roman"/>
          <w:b/>
        </w:rPr>
        <w:t>good</w:t>
      </w:r>
      <w:r w:rsidRPr="00D436F2">
        <w:rPr>
          <w:rFonts w:ascii="Times New Roman" w:hAnsi="Times New Roman"/>
          <w:b/>
        </w:rPr>
        <w:t xml:space="preserve"> quality score </w:t>
      </w:r>
      <w:r w:rsidRPr="00D436F2">
        <w:rPr>
          <w:rFonts w:ascii="Times New Roman" w:hAnsi="Times New Roman"/>
          <w:b/>
          <w:u w:val="single"/>
        </w:rPr>
        <w:t>&gt;</w:t>
      </w:r>
      <w:r>
        <w:rPr>
          <w:rFonts w:ascii="Times New Roman" w:hAnsi="Times New Roman"/>
          <w:b/>
        </w:rPr>
        <w:t>7</w:t>
      </w:r>
      <w:r w:rsidRPr="00C22710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</w:p>
    <w:p w:rsidR="00ED1DF8" w:rsidRDefault="00ED1DF8"/>
    <w:sectPr w:rsidR="00ED1DF8" w:rsidSect="00B618C4">
      <w:pgSz w:w="15840" w:h="12240" w:orient="landscape"/>
      <w:pgMar w:top="851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20F" w:rsidRDefault="0066120F" w:rsidP="0070491B">
      <w:r>
        <w:separator/>
      </w:r>
    </w:p>
  </w:endnote>
  <w:endnote w:type="continuationSeparator" w:id="0">
    <w:p w:rsidR="0066120F" w:rsidRDefault="0066120F" w:rsidP="0070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20F" w:rsidRDefault="0066120F" w:rsidP="0070491B">
      <w:r>
        <w:separator/>
      </w:r>
    </w:p>
  </w:footnote>
  <w:footnote w:type="continuationSeparator" w:id="0">
    <w:p w:rsidR="0066120F" w:rsidRDefault="0066120F" w:rsidP="007049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2sLA0NjEyNrOwMLVQ0lEKTi0uzszPAykwrAUASSgt7ywAAAA="/>
  </w:docVars>
  <w:rsids>
    <w:rsidRoot w:val="004C4F64"/>
    <w:rsid w:val="004C4F64"/>
    <w:rsid w:val="0066120F"/>
    <w:rsid w:val="0070491B"/>
    <w:rsid w:val="00ED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781A9"/>
  <w15:chartTrackingRefBased/>
  <w15:docId w15:val="{C90F17E7-3330-47A4-9D96-051EAAB6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49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70491B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70491B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7049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491B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7049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491B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Hyperlink">
    <w:name w:val="Hyperlink"/>
    <w:rsid w:val="0070491B"/>
    <w:rPr>
      <w:color w:val="0563C1"/>
      <w:u w:val="single"/>
    </w:rPr>
  </w:style>
  <w:style w:type="table" w:styleId="TableGrid">
    <w:name w:val="Table Grid"/>
    <w:basedOn w:val="TableNormal"/>
    <w:uiPriority w:val="39"/>
    <w:rsid w:val="007049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uiPriority w:val="51"/>
    <w:rsid w:val="0070491B"/>
    <w:pPr>
      <w:spacing w:after="0" w:line="240" w:lineRule="auto"/>
    </w:pPr>
    <w:rPr>
      <w:rFonts w:ascii="Calibri" w:eastAsia="SimSun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Normal"/>
    <w:uiPriority w:val="47"/>
    <w:rsid w:val="0070491B"/>
    <w:pPr>
      <w:spacing w:after="0" w:line="240" w:lineRule="auto"/>
    </w:pPr>
    <w:rPr>
      <w:rFonts w:ascii="Calibri" w:eastAsia="SimSun" w:hAnsi="Calibri" w:cs="Times New Roman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619</Words>
  <Characters>3533</Characters>
  <Application>Microsoft Office Word</Application>
  <DocSecurity>0</DocSecurity>
  <Lines>29</Lines>
  <Paragraphs>8</Paragraphs>
  <ScaleCrop>false</ScaleCrop>
  <Company>University of Technology Sydney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Asres Bedaso Tilahune</dc:creator>
  <cp:keywords/>
  <dc:description/>
  <cp:lastModifiedBy>Asres Bedaso Tilahune</cp:lastModifiedBy>
  <cp:revision>2</cp:revision>
  <dcterms:created xsi:type="dcterms:W3CDTF">2021-07-22T00:55:00Z</dcterms:created>
  <dcterms:modified xsi:type="dcterms:W3CDTF">2021-07-22T00:57:00Z</dcterms:modified>
</cp:coreProperties>
</file>