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2E60D" w14:textId="6ED859EC" w:rsidR="009928F4" w:rsidRPr="00BB4C3C" w:rsidRDefault="00FE7216" w:rsidP="009928F4">
      <w:pPr>
        <w:pStyle w:val="Caption"/>
        <w:keepNext/>
        <w:spacing w:after="0" w:line="360" w:lineRule="auto"/>
        <w:rPr>
          <w:rFonts w:ascii="Arial" w:hAnsi="Arial" w:cs="Arial"/>
          <w:i w:val="0"/>
          <w:iCs w:val="0"/>
          <w:color w:val="auto"/>
          <w:sz w:val="24"/>
          <w:szCs w:val="24"/>
        </w:rPr>
      </w:pPr>
      <w:r>
        <w:rPr>
          <w:rFonts w:ascii="Arial" w:hAnsi="Arial" w:cs="Arial"/>
          <w:i w:val="0"/>
          <w:iCs w:val="0"/>
          <w:color w:val="auto"/>
          <w:sz w:val="24"/>
          <w:szCs w:val="24"/>
        </w:rPr>
        <w:t>Additional file 2</w:t>
      </w:r>
      <w:r w:rsidR="009928F4" w:rsidRPr="00BB4C3C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 – Classification of each domain according to main findings and NASSS guidance</w:t>
      </w:r>
    </w:p>
    <w:p w14:paraId="59D0862B" w14:textId="77777777" w:rsidR="009928F4" w:rsidRDefault="009928F4" w:rsidP="009928F4"/>
    <w:tbl>
      <w:tblPr>
        <w:tblStyle w:val="TableGrid"/>
        <w:tblpPr w:leftFromText="180" w:rightFromText="180" w:vertAnchor="page" w:horzAnchor="margin" w:tblpY="2251"/>
        <w:tblW w:w="0" w:type="auto"/>
        <w:tblLook w:val="04A0" w:firstRow="1" w:lastRow="0" w:firstColumn="1" w:lastColumn="0" w:noHBand="0" w:noVBand="1"/>
      </w:tblPr>
      <w:tblGrid>
        <w:gridCol w:w="1686"/>
        <w:gridCol w:w="5813"/>
        <w:gridCol w:w="1517"/>
      </w:tblGrid>
      <w:tr w:rsidR="009928F4" w:rsidRPr="003A3DEA" w14:paraId="07B0E833" w14:textId="77777777" w:rsidTr="003F1060">
        <w:trPr>
          <w:trHeight w:val="552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497970A5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5813" w:type="dxa"/>
            <w:shd w:val="clear" w:color="auto" w:fill="D9D9D9" w:themeFill="background1" w:themeFillShade="D9"/>
            <w:vAlign w:val="center"/>
          </w:tcPr>
          <w:p w14:paraId="52E354B7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Summary of findings from FGDs</w:t>
            </w:r>
          </w:p>
        </w:tc>
        <w:tc>
          <w:tcPr>
            <w:tcW w:w="1517" w:type="dxa"/>
            <w:shd w:val="clear" w:color="auto" w:fill="D9D9D9" w:themeFill="background1" w:themeFillShade="D9"/>
            <w:vAlign w:val="center"/>
          </w:tcPr>
          <w:p w14:paraId="7635C419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Classification</w:t>
            </w:r>
          </w:p>
        </w:tc>
      </w:tr>
      <w:tr w:rsidR="009928F4" w:rsidRPr="003A3DEA" w14:paraId="7EF6F4CD" w14:textId="77777777" w:rsidTr="003F1060">
        <w:trPr>
          <w:trHeight w:val="406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28C89C69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The condition or illness</w:t>
            </w:r>
          </w:p>
        </w:tc>
        <w:tc>
          <w:tcPr>
            <w:tcW w:w="5813" w:type="dxa"/>
            <w:vAlign w:val="center"/>
          </w:tcPr>
          <w:p w14:paraId="33251E3E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 xml:space="preserve">- Patient may present with more complications as a result of late presentation/seeking other advice/treatments first </w:t>
            </w:r>
          </w:p>
        </w:tc>
        <w:tc>
          <w:tcPr>
            <w:tcW w:w="1517" w:type="dxa"/>
            <w:vAlign w:val="center"/>
          </w:tcPr>
          <w:p w14:paraId="32060FE9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Complicated</w:t>
            </w:r>
          </w:p>
          <w:p w14:paraId="2D9D19E3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9928F4" w:rsidRPr="003A3DEA" w14:paraId="4ABE3983" w14:textId="77777777" w:rsidTr="003F1060">
        <w:trPr>
          <w:trHeight w:val="1279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631A466B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The technology</w:t>
            </w:r>
          </w:p>
        </w:tc>
        <w:tc>
          <w:tcPr>
            <w:tcW w:w="5813" w:type="dxa"/>
            <w:vAlign w:val="center"/>
          </w:tcPr>
          <w:p w14:paraId="020C7115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Directly and transparently measures changes in the condition</w:t>
            </w:r>
          </w:p>
          <w:p w14:paraId="325AEFEC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Requires ongoing training (knowledge generated contested as a result of incorrect use)</w:t>
            </w:r>
          </w:p>
          <w:p w14:paraId="65B2FA8A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Difficulties charging the device</w:t>
            </w:r>
          </w:p>
          <w:p w14:paraId="1E426DC1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Unable to procure spare parts or devices in country</w:t>
            </w:r>
          </w:p>
        </w:tc>
        <w:tc>
          <w:tcPr>
            <w:tcW w:w="1517" w:type="dxa"/>
            <w:vAlign w:val="center"/>
          </w:tcPr>
          <w:p w14:paraId="757954FC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Complex</w:t>
            </w:r>
          </w:p>
        </w:tc>
      </w:tr>
      <w:tr w:rsidR="009928F4" w:rsidRPr="003A3DEA" w14:paraId="1B7370C6" w14:textId="77777777" w:rsidTr="003F1060">
        <w:trPr>
          <w:trHeight w:val="1098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7EB13B11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The value proposition</w:t>
            </w:r>
          </w:p>
        </w:tc>
        <w:tc>
          <w:tcPr>
            <w:tcW w:w="5813" w:type="dxa"/>
            <w:vAlign w:val="center"/>
          </w:tcPr>
          <w:p w14:paraId="7033EB44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The device is highly desirable to staff and patients</w:t>
            </w:r>
          </w:p>
          <w:p w14:paraId="12D585B8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 xml:space="preserve">- Reported to impact on </w:t>
            </w:r>
            <w:proofErr w:type="gramStart"/>
            <w:r w:rsidRPr="003A3DEA">
              <w:rPr>
                <w:rFonts w:cs="Arial"/>
                <w:sz w:val="20"/>
                <w:szCs w:val="20"/>
              </w:rPr>
              <w:t>quality of care</w:t>
            </w:r>
            <w:proofErr w:type="gramEnd"/>
            <w:r w:rsidRPr="003A3DEA">
              <w:rPr>
                <w:rFonts w:cs="Arial"/>
                <w:sz w:val="20"/>
                <w:szCs w:val="20"/>
              </w:rPr>
              <w:t xml:space="preserve"> provision and reduce maternal mortality/morbidity</w:t>
            </w:r>
          </w:p>
        </w:tc>
        <w:tc>
          <w:tcPr>
            <w:tcW w:w="1517" w:type="dxa"/>
            <w:vAlign w:val="center"/>
          </w:tcPr>
          <w:p w14:paraId="24779A9E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Simple</w:t>
            </w:r>
          </w:p>
        </w:tc>
      </w:tr>
      <w:tr w:rsidR="009928F4" w:rsidRPr="003A3DEA" w14:paraId="71239DBF" w14:textId="77777777" w:rsidTr="003F1060">
        <w:trPr>
          <w:trHeight w:val="1388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36BA1972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The adopter system</w:t>
            </w:r>
          </w:p>
        </w:tc>
        <w:tc>
          <w:tcPr>
            <w:tcW w:w="5813" w:type="dxa"/>
            <w:vAlign w:val="center"/>
          </w:tcPr>
          <w:p w14:paraId="1C6F0920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Staff happy to receive the device and only positive comments made in relation to changes in professional identity</w:t>
            </w:r>
          </w:p>
          <w:p w14:paraId="6ABDDAE0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Device accepted by women and their support network (no new tasks expected of them. Some communities voluntarily offered support)</w:t>
            </w:r>
          </w:p>
          <w:p w14:paraId="1082C3CE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Staff can expect incentives to attend training</w:t>
            </w:r>
          </w:p>
        </w:tc>
        <w:tc>
          <w:tcPr>
            <w:tcW w:w="1517" w:type="dxa"/>
            <w:vAlign w:val="center"/>
          </w:tcPr>
          <w:p w14:paraId="039E760E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Complicated</w:t>
            </w:r>
          </w:p>
        </w:tc>
      </w:tr>
      <w:tr w:rsidR="009928F4" w:rsidRPr="003A3DEA" w14:paraId="5FC6A568" w14:textId="77777777" w:rsidTr="003F1060">
        <w:trPr>
          <w:trHeight w:val="1661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7E679E18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The organisation</w:t>
            </w:r>
          </w:p>
        </w:tc>
        <w:tc>
          <w:tcPr>
            <w:tcW w:w="5813" w:type="dxa"/>
            <w:vAlign w:val="center"/>
          </w:tcPr>
          <w:p w14:paraId="68290CB5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Power struggles between Champions and trainees and in-fighting within facilities (reported to be present prior to and independent of the CRADLE intervention) could be a barrier to innovation</w:t>
            </w:r>
          </w:p>
          <w:p w14:paraId="09D95DB0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 xml:space="preserve">- Extensive work involved in implementation, requiring ongoing commitment and at times personal sacrifice from Champions </w:t>
            </w:r>
          </w:p>
        </w:tc>
        <w:tc>
          <w:tcPr>
            <w:tcW w:w="1517" w:type="dxa"/>
            <w:vAlign w:val="center"/>
          </w:tcPr>
          <w:p w14:paraId="72EBEBEC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Complex</w:t>
            </w:r>
          </w:p>
        </w:tc>
      </w:tr>
      <w:tr w:rsidR="009928F4" w:rsidRPr="003A3DEA" w14:paraId="39610E17" w14:textId="77777777" w:rsidTr="003F1060">
        <w:trPr>
          <w:trHeight w:val="821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62C47D8A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The wider system</w:t>
            </w:r>
          </w:p>
        </w:tc>
        <w:tc>
          <w:tcPr>
            <w:tcW w:w="5813" w:type="dxa"/>
            <w:vAlign w:val="center"/>
          </w:tcPr>
          <w:p w14:paraId="27111384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Midwifery schools and MoHS supportive</w:t>
            </w:r>
          </w:p>
          <w:p w14:paraId="55267682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New law increasing focus on prevention of maternal deaths</w:t>
            </w:r>
          </w:p>
          <w:p w14:paraId="3F9D44F9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Community leaders supportive</w:t>
            </w:r>
          </w:p>
        </w:tc>
        <w:tc>
          <w:tcPr>
            <w:tcW w:w="1517" w:type="dxa"/>
            <w:vAlign w:val="center"/>
          </w:tcPr>
          <w:p w14:paraId="0F6BE5F1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Simple</w:t>
            </w:r>
          </w:p>
        </w:tc>
      </w:tr>
      <w:tr w:rsidR="009928F4" w:rsidRPr="003A3DEA" w14:paraId="69BA246C" w14:textId="77777777" w:rsidTr="003F1060">
        <w:trPr>
          <w:trHeight w:val="975"/>
        </w:trPr>
        <w:tc>
          <w:tcPr>
            <w:tcW w:w="1686" w:type="dxa"/>
            <w:shd w:val="clear" w:color="auto" w:fill="D9D9D9" w:themeFill="background1" w:themeFillShade="D9"/>
            <w:vAlign w:val="center"/>
          </w:tcPr>
          <w:p w14:paraId="5B666364" w14:textId="77777777" w:rsidR="009928F4" w:rsidRPr="003A3DEA" w:rsidRDefault="009928F4" w:rsidP="003F1060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 w:rsidRPr="003A3DEA">
              <w:rPr>
                <w:rFonts w:cs="Arial"/>
                <w:b/>
                <w:bCs/>
                <w:sz w:val="20"/>
                <w:szCs w:val="20"/>
              </w:rPr>
              <w:t>Embedding and adaptation over time</w:t>
            </w:r>
          </w:p>
        </w:tc>
        <w:tc>
          <w:tcPr>
            <w:tcW w:w="5813" w:type="dxa"/>
            <w:vAlign w:val="center"/>
          </w:tcPr>
          <w:p w14:paraId="01FFE7C5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Concerns about ability to maintain the programme without external partner support</w:t>
            </w:r>
          </w:p>
          <w:p w14:paraId="516B2E62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- Many Champions proactive and independent in approach to overcoming challenges</w:t>
            </w:r>
          </w:p>
        </w:tc>
        <w:tc>
          <w:tcPr>
            <w:tcW w:w="1517" w:type="dxa"/>
            <w:vAlign w:val="center"/>
          </w:tcPr>
          <w:p w14:paraId="17DF39D3" w14:textId="77777777" w:rsidR="009928F4" w:rsidRPr="003A3DEA" w:rsidRDefault="009928F4" w:rsidP="003F1060">
            <w:pPr>
              <w:spacing w:line="276" w:lineRule="auto"/>
              <w:rPr>
                <w:rFonts w:cs="Arial"/>
                <w:sz w:val="20"/>
                <w:szCs w:val="20"/>
              </w:rPr>
            </w:pPr>
            <w:r w:rsidRPr="003A3DEA">
              <w:rPr>
                <w:rFonts w:cs="Arial"/>
                <w:sz w:val="20"/>
                <w:szCs w:val="20"/>
              </w:rPr>
              <w:t>Complicated</w:t>
            </w:r>
          </w:p>
        </w:tc>
      </w:tr>
    </w:tbl>
    <w:p w14:paraId="2FB80CCB" w14:textId="77777777" w:rsidR="009928F4" w:rsidRDefault="009928F4" w:rsidP="009928F4"/>
    <w:p w14:paraId="41E662D1" w14:textId="77777777" w:rsidR="002A6F40" w:rsidRDefault="00FE7216"/>
    <w:sectPr w:rsidR="002A6F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F4"/>
    <w:rsid w:val="000E7AB7"/>
    <w:rsid w:val="006B7F5A"/>
    <w:rsid w:val="009928F4"/>
    <w:rsid w:val="00A43EB0"/>
    <w:rsid w:val="00FE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79130"/>
  <w15:chartTrackingRefBased/>
  <w15:docId w15:val="{4DDC3588-A202-4F97-94A3-0BEC88F4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8F4"/>
    <w:pPr>
      <w:spacing w:after="40" w:line="48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928F4"/>
    <w:pPr>
      <w:autoSpaceDE w:val="0"/>
      <w:autoSpaceDN w:val="0"/>
      <w:adjustRightInd w:val="0"/>
      <w:spacing w:after="200" w:line="240" w:lineRule="auto"/>
    </w:pPr>
    <w:rPr>
      <w:rFonts w:ascii="Calibri" w:eastAsiaTheme="minorHAnsi" w:hAnsi="Calibri" w:cs="Calibri"/>
      <w:i/>
      <w:iCs/>
      <w:color w:val="44546A" w:themeColor="text2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9928F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</dc:creator>
  <cp:keywords/>
  <dc:description/>
  <cp:lastModifiedBy>Anon</cp:lastModifiedBy>
  <cp:revision>2</cp:revision>
  <dcterms:created xsi:type="dcterms:W3CDTF">2022-02-01T14:39:00Z</dcterms:created>
  <dcterms:modified xsi:type="dcterms:W3CDTF">2022-07-06T14:34:00Z</dcterms:modified>
</cp:coreProperties>
</file>