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99" w:rsidRDefault="00C13D3B">
      <w:pPr>
        <w:rPr>
          <w:rFonts w:ascii="Times New Roman" w:hAnsi="Times New Roman"/>
          <w:b/>
          <w:szCs w:val="24"/>
          <w:lang w:val="en-GB"/>
        </w:rPr>
      </w:pPr>
      <w:r w:rsidRPr="00065360">
        <w:rPr>
          <w:rFonts w:ascii="Times New Roman" w:hAnsi="Times New Roman"/>
          <w:b/>
          <w:szCs w:val="24"/>
          <w:lang w:val="en-GB"/>
        </w:rPr>
        <w:t xml:space="preserve">Table S4. </w:t>
      </w:r>
      <w:proofErr w:type="gramStart"/>
      <w:r w:rsidRPr="00065360">
        <w:rPr>
          <w:rFonts w:ascii="Times New Roman" w:hAnsi="Times New Roman"/>
          <w:b/>
          <w:szCs w:val="24"/>
          <w:lang w:val="en-GB"/>
        </w:rPr>
        <w:t xml:space="preserve">Inflammation-related biomarkers and Ki67 expression </w:t>
      </w:r>
      <w:r>
        <w:rPr>
          <w:rFonts w:ascii="Times New Roman" w:hAnsi="Times New Roman"/>
          <w:b/>
          <w:szCs w:val="24"/>
          <w:lang w:val="en-GB"/>
        </w:rPr>
        <w:t>in</w:t>
      </w:r>
      <w:r w:rsidRPr="00065360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  <w:lang w:val="en-GB"/>
        </w:rPr>
        <w:t xml:space="preserve">the </w:t>
      </w:r>
      <w:r w:rsidRPr="00065360">
        <w:rPr>
          <w:rFonts w:ascii="Times New Roman" w:hAnsi="Times New Roman"/>
          <w:b/>
          <w:szCs w:val="24"/>
          <w:lang w:val="en-GB"/>
        </w:rPr>
        <w:t xml:space="preserve">T-cells </w:t>
      </w:r>
      <w:r>
        <w:rPr>
          <w:rFonts w:ascii="Times New Roman" w:hAnsi="Times New Roman"/>
          <w:b/>
          <w:szCs w:val="24"/>
          <w:lang w:val="en-GB"/>
        </w:rPr>
        <w:t xml:space="preserve">of the </w:t>
      </w:r>
      <w:r w:rsidRPr="00065360">
        <w:rPr>
          <w:rFonts w:ascii="Times New Roman" w:hAnsi="Times New Roman"/>
          <w:b/>
          <w:szCs w:val="24"/>
          <w:lang w:val="en-GB"/>
        </w:rPr>
        <w:t xml:space="preserve">subjects who died during </w:t>
      </w:r>
      <w:r>
        <w:rPr>
          <w:rFonts w:ascii="Times New Roman" w:hAnsi="Times New Roman"/>
          <w:b/>
          <w:szCs w:val="24"/>
          <w:lang w:val="en-GB"/>
        </w:rPr>
        <w:t>the</w:t>
      </w:r>
      <w:r w:rsidRPr="00065360">
        <w:rPr>
          <w:rFonts w:ascii="Times New Roman" w:hAnsi="Times New Roman"/>
          <w:b/>
          <w:szCs w:val="24"/>
          <w:lang w:val="en-GB"/>
        </w:rPr>
        <w:t xml:space="preserve"> follow-up-year.</w:t>
      </w:r>
      <w:proofErr w:type="gramEnd"/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2285"/>
        <w:gridCol w:w="2531"/>
        <w:gridCol w:w="1296"/>
      </w:tblGrid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Death (YES)</w:t>
            </w:r>
          </w:p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N=6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Death (NO)</w:t>
            </w:r>
          </w:p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N=53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  <w:t>P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Cs w:val="24"/>
                <w:lang w:val="en-GB"/>
              </w:rPr>
              <w:t>*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sj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/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sym w:font="Symbol" w:char="F062"/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TREC ratio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 [0-0]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34 [10-51]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0.001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Thymic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failure 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(#)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6 (100)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13 (25)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&lt;0.001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hsCRP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(mg/L)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5.10 [3.70-7.58]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2.60 [1.25-4.30]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0.012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PLR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152 [152-229]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116 [87-166]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0.318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NLR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2.75 [2.30-3.57]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2.12 [1.63-2.85]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0.153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β2-microglobulin (µg/mL)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3.50 [2.45-5.40]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2.50 [2.03-3.30]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0.076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49.65</w:t>
            </w:r>
            <w:r>
              <w:rPr>
                <w:rFonts w:ascii="Times New Roman" w:hAnsi="Times New Roman"/>
                <w:color w:val="000000"/>
                <w:szCs w:val="24"/>
                <w:lang w:val="en-GB"/>
              </w:rPr>
              <w:t xml:space="preserve"> </w:t>
            </w: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[34.78-51.15]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29.60 [16.70-39.65]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0.007</w:t>
            </w:r>
          </w:p>
        </w:tc>
      </w:tr>
      <w:tr w:rsidR="00C13D3B" w:rsidRPr="00065360" w:rsidTr="00FE4397">
        <w:trPr>
          <w:trHeight w:val="194"/>
        </w:trPr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eTreg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18.75 [11.49-23.23]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9.96 [6.50-13.95]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0.034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%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nonTreg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45.05 [34.93-51.60]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36.10 [20.65-41.20]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0.025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CD4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2.65 [2.28-3.20]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2.08 [1.72-2.69]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0.096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CD4 N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32.65 [20.39-42.28]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21.70 [12.00-30.35]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0.160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CD4 CM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39.30 [29.70-48.78]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28.20 [19.15-36.90]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tabs>
                <w:tab w:val="left" w:pos="620"/>
                <w:tab w:val="center" w:pos="910"/>
              </w:tabs>
              <w:spacing w:after="0"/>
              <w:jc w:val="center"/>
              <w:rPr>
                <w:rFonts w:ascii="Times New Roman" w:hAnsi="Times New Roman"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0.068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CD4 EM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39.30 [30.80-44.05]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28.50 [19.75-35.60]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tabs>
                <w:tab w:val="left" w:pos="620"/>
                <w:tab w:val="center" w:pos="910"/>
              </w:tabs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0.041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% CD4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TemRA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39.60 [30.93-42.73]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25.50 [18.75-33.30]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0.033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CD8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7.60 [4.20-12.35]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9.86 [7.79-12.18]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0.242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CD8 N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47.55 [32.12-55.28]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15.20 [8.52-42.45]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tabs>
                <w:tab w:val="left" w:pos="620"/>
                <w:tab w:val="center" w:pos="910"/>
              </w:tabs>
              <w:spacing w:after="0"/>
              <w:jc w:val="center"/>
              <w:rPr>
                <w:rFonts w:ascii="Times New Roman" w:hAnsi="Times New Roman"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0.039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CD8 CM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38.15 [26.11-49.18]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17.70 [14.45-34.10]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i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i/>
                <w:color w:val="000000"/>
                <w:szCs w:val="24"/>
                <w:lang w:val="en-GB"/>
              </w:rPr>
              <w:t>0.057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% CD8 EM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b/>
                <w:bCs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42.15 [30.74-48.70]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20.40 [15.75-36.60]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0.020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06536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7F7F7F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% CD8 </w:t>
            </w:r>
            <w:proofErr w:type="spellStart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>TemRA</w:t>
            </w:r>
            <w:proofErr w:type="spellEnd"/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lang w:val="en-GB"/>
              </w:rPr>
              <w:t xml:space="preserve"> Ki67</w:t>
            </w:r>
            <w:r w:rsidRPr="00065360">
              <w:rPr>
                <w:rFonts w:ascii="Times New Roman" w:hAnsi="Times New Roman"/>
                <w:b/>
                <w:bCs/>
                <w:color w:val="000000"/>
                <w:szCs w:val="24"/>
                <w:vertAlign w:val="superscript"/>
                <w:lang w:val="en-GB"/>
              </w:rPr>
              <w:t>+</w:t>
            </w:r>
          </w:p>
        </w:tc>
        <w:tc>
          <w:tcPr>
            <w:tcW w:w="2285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41.05 [24.07-41.95]</w:t>
            </w:r>
          </w:p>
        </w:tc>
        <w:tc>
          <w:tcPr>
            <w:tcW w:w="2531" w:type="dxa"/>
          </w:tcPr>
          <w:p w:rsidR="00C13D3B" w:rsidRPr="0006536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595959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color w:val="000000"/>
                <w:szCs w:val="24"/>
                <w:lang w:val="en-GB"/>
              </w:rPr>
              <w:t>18.70 [12.30-32.55]</w:t>
            </w:r>
          </w:p>
        </w:tc>
        <w:tc>
          <w:tcPr>
            <w:tcW w:w="1296" w:type="dxa"/>
          </w:tcPr>
          <w:p w:rsidR="00C13D3B" w:rsidRPr="0006536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</w:pPr>
            <w:r w:rsidRPr="00065360">
              <w:rPr>
                <w:rFonts w:ascii="Times New Roman" w:hAnsi="Times New Roman"/>
                <w:b/>
                <w:color w:val="000000"/>
                <w:szCs w:val="24"/>
                <w:lang w:val="en-GB"/>
              </w:rPr>
              <w:t>0.032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Comorbidities (number</w:t>
            </w: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vertAlign w:val="superscript"/>
                <w:lang w:val="en-GB"/>
              </w:rPr>
              <w:t>1</w:t>
            </w: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)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4.5 [2.7-6]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3 [2-5]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0.211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proofErr w:type="spellStart"/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Barthel</w:t>
            </w:r>
            <w:proofErr w:type="spellEnd"/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 xml:space="preserve"> index</w:t>
            </w: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vertAlign w:val="superscript"/>
                <w:lang w:val="en-GB"/>
              </w:rPr>
              <w:t>2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65 [51-76]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90 [72-100]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  <w:t>0.013</w:t>
            </w: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&lt; 20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0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3 (5.7)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20-35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0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2 (3.7)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40-55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2 (33.3)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3 (5.7)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≥ 60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4 (66.6)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28 (52.8)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</w:p>
        </w:tc>
      </w:tr>
      <w:tr w:rsidR="00C13D3B" w:rsidRPr="00065360" w:rsidTr="00FE4397">
        <w:tc>
          <w:tcPr>
            <w:tcW w:w="3068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b/>
                <w:bCs/>
                <w:color w:val="000000"/>
                <w:szCs w:val="24"/>
                <w:highlight w:val="green"/>
                <w:lang w:val="en-GB"/>
              </w:rPr>
              <w:t>100</w:t>
            </w:r>
          </w:p>
        </w:tc>
        <w:tc>
          <w:tcPr>
            <w:tcW w:w="2285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0</w:t>
            </w:r>
          </w:p>
        </w:tc>
        <w:tc>
          <w:tcPr>
            <w:tcW w:w="2531" w:type="dxa"/>
          </w:tcPr>
          <w:p w:rsidR="00C13D3B" w:rsidRPr="00B47D30" w:rsidRDefault="00C13D3B" w:rsidP="00FE439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</w:pPr>
            <w:r w:rsidRPr="00B47D30">
              <w:rPr>
                <w:rFonts w:ascii="Times New Roman" w:hAnsi="Times New Roman"/>
                <w:color w:val="000000"/>
                <w:szCs w:val="24"/>
                <w:highlight w:val="green"/>
                <w:lang w:val="en-GB"/>
              </w:rPr>
              <w:t>17 (32.1)</w:t>
            </w:r>
          </w:p>
        </w:tc>
        <w:tc>
          <w:tcPr>
            <w:tcW w:w="1296" w:type="dxa"/>
          </w:tcPr>
          <w:p w:rsidR="00C13D3B" w:rsidRPr="00B47D30" w:rsidRDefault="00C13D3B" w:rsidP="00FE439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  <w:highlight w:val="green"/>
                <w:lang w:val="en-GB"/>
              </w:rPr>
            </w:pPr>
          </w:p>
        </w:tc>
      </w:tr>
    </w:tbl>
    <w:p w:rsidR="00C13D3B" w:rsidRPr="00065360" w:rsidRDefault="00C13D3B" w:rsidP="00C13D3B">
      <w:pPr>
        <w:spacing w:after="0" w:line="480" w:lineRule="auto"/>
        <w:rPr>
          <w:rFonts w:ascii="Times New Roman" w:hAnsi="Times New Roman"/>
          <w:szCs w:val="24"/>
          <w:lang w:val="en-GB"/>
        </w:rPr>
      </w:pPr>
      <w:r w:rsidRPr="00065360">
        <w:rPr>
          <w:rFonts w:ascii="Times New Roman" w:eastAsia="MyriadPro-Regular" w:hAnsi="Times New Roman"/>
          <w:szCs w:val="24"/>
          <w:lang w:val="en-GB"/>
        </w:rPr>
        <w:t xml:space="preserve">Comparisons between </w:t>
      </w:r>
      <w:r>
        <w:rPr>
          <w:rFonts w:ascii="Times New Roman" w:eastAsia="MyriadPro-Regular" w:hAnsi="Times New Roman"/>
          <w:szCs w:val="24"/>
          <w:lang w:val="en-GB"/>
        </w:rPr>
        <w:t xml:space="preserve">the </w:t>
      </w:r>
      <w:r w:rsidRPr="00065360">
        <w:rPr>
          <w:rFonts w:ascii="Times New Roman" w:eastAsia="MyriadPro-Regular" w:hAnsi="Times New Roman"/>
          <w:szCs w:val="24"/>
          <w:lang w:val="en-GB"/>
        </w:rPr>
        <w:t>groups were made using the nonparametric Mann–Whitney </w:t>
      </w:r>
      <w:r w:rsidRPr="00065360">
        <w:rPr>
          <w:rFonts w:ascii="Times New Roman" w:eastAsia="MyriadPro-Regular" w:hAnsi="Times New Roman"/>
          <w:i/>
          <w:iCs/>
          <w:szCs w:val="24"/>
          <w:lang w:val="en-GB"/>
        </w:rPr>
        <w:t>U</w:t>
      </w:r>
      <w:r>
        <w:rPr>
          <w:rFonts w:ascii="Times New Roman" w:eastAsia="MyriadPro-Regular" w:hAnsi="Times New Roman"/>
          <w:iCs/>
          <w:szCs w:val="24"/>
          <w:lang w:val="en-GB"/>
        </w:rPr>
        <w:t xml:space="preserve"> test</w:t>
      </w:r>
      <w:r w:rsidRPr="00065360">
        <w:rPr>
          <w:rFonts w:ascii="Times New Roman" w:eastAsia="MyriadPro-Regular" w:hAnsi="Times New Roman"/>
          <w:szCs w:val="24"/>
          <w:lang w:val="en-GB"/>
        </w:rPr>
        <w:t xml:space="preserve">. </w:t>
      </w:r>
      <w:r w:rsidRPr="00065360">
        <w:rPr>
          <w:rFonts w:ascii="Times New Roman" w:hAnsi="Times New Roman"/>
          <w:szCs w:val="24"/>
          <w:lang w:val="en-GB"/>
        </w:rPr>
        <w:t xml:space="preserve">Variables with a </w:t>
      </w:r>
      <w:r w:rsidRPr="00065360">
        <w:rPr>
          <w:rFonts w:ascii="Times New Roman" w:hAnsi="Times New Roman"/>
          <w:i/>
          <w:iCs/>
          <w:szCs w:val="24"/>
          <w:lang w:val="en-GB"/>
        </w:rPr>
        <w:t xml:space="preserve">p </w:t>
      </w:r>
      <w:r w:rsidRPr="00065360">
        <w:rPr>
          <w:rFonts w:ascii="Times New Roman" w:hAnsi="Times New Roman"/>
          <w:szCs w:val="24"/>
          <w:lang w:val="en-GB"/>
        </w:rPr>
        <w:t xml:space="preserve">value &lt;0.1 </w:t>
      </w:r>
      <w:r>
        <w:rPr>
          <w:rFonts w:ascii="Times New Roman" w:hAnsi="Times New Roman"/>
          <w:szCs w:val="24"/>
          <w:lang w:val="en-GB"/>
        </w:rPr>
        <w:t xml:space="preserve">are shown </w:t>
      </w:r>
      <w:r w:rsidRPr="00065360">
        <w:rPr>
          <w:rFonts w:ascii="Times New Roman" w:hAnsi="Times New Roman"/>
          <w:szCs w:val="24"/>
          <w:lang w:val="en-GB"/>
        </w:rPr>
        <w:t xml:space="preserve">in </w:t>
      </w:r>
      <w:r w:rsidRPr="00065360">
        <w:rPr>
          <w:rFonts w:ascii="Times New Roman" w:hAnsi="Times New Roman"/>
          <w:i/>
          <w:iCs/>
          <w:szCs w:val="24"/>
          <w:lang w:val="en-GB"/>
        </w:rPr>
        <w:t>italics</w:t>
      </w:r>
      <w:r w:rsidRPr="00065360">
        <w:rPr>
          <w:rFonts w:ascii="Times New Roman" w:hAnsi="Times New Roman"/>
          <w:szCs w:val="24"/>
          <w:lang w:val="en-GB"/>
        </w:rPr>
        <w:t xml:space="preserve">. Variables with a </w:t>
      </w:r>
      <w:r w:rsidRPr="00065360">
        <w:rPr>
          <w:rFonts w:ascii="Times New Roman" w:hAnsi="Times New Roman"/>
          <w:i/>
          <w:iCs/>
          <w:szCs w:val="24"/>
          <w:lang w:val="en-GB"/>
        </w:rPr>
        <w:t xml:space="preserve">p </w:t>
      </w:r>
      <w:r w:rsidRPr="00065360">
        <w:rPr>
          <w:rFonts w:ascii="Times New Roman" w:hAnsi="Times New Roman"/>
          <w:szCs w:val="24"/>
          <w:lang w:val="en-GB"/>
        </w:rPr>
        <w:t>value &lt;0.05 were considered statistically significant and are shown in bold.</w:t>
      </w:r>
      <w:r>
        <w:rPr>
          <w:rFonts w:ascii="Times New Roman" w:hAnsi="Times New Roman"/>
          <w:szCs w:val="24"/>
          <w:lang w:val="en-GB"/>
        </w:rPr>
        <w:t xml:space="preserve"> </w:t>
      </w:r>
      <w:r w:rsidRPr="00E31704">
        <w:rPr>
          <w:rFonts w:ascii="Times New Roman" w:hAnsi="Times New Roman"/>
          <w:szCs w:val="24"/>
          <w:highlight w:val="green"/>
          <w:lang w:val="en-GB"/>
        </w:rPr>
        <w:t xml:space="preserve">*After correction for multiple comparisons by the </w:t>
      </w:r>
      <w:proofErr w:type="spellStart"/>
      <w:r w:rsidRPr="00E31704">
        <w:rPr>
          <w:rFonts w:ascii="Times New Roman" w:hAnsi="Times New Roman"/>
          <w:szCs w:val="24"/>
          <w:highlight w:val="green"/>
          <w:lang w:val="en-GB"/>
        </w:rPr>
        <w:t>Benjamini</w:t>
      </w:r>
      <w:proofErr w:type="spellEnd"/>
      <w:r w:rsidRPr="00E31704">
        <w:rPr>
          <w:rFonts w:ascii="Times New Roman" w:hAnsi="Times New Roman"/>
          <w:szCs w:val="24"/>
          <w:highlight w:val="green"/>
          <w:lang w:val="en-GB"/>
        </w:rPr>
        <w:t>-Hochberg procedure</w:t>
      </w:r>
      <w:r>
        <w:rPr>
          <w:rFonts w:ascii="Times New Roman" w:hAnsi="Times New Roman"/>
          <w:szCs w:val="24"/>
          <w:highlight w:val="green"/>
          <w:lang w:val="en-GB"/>
        </w:rPr>
        <w:t>,</w:t>
      </w:r>
      <w:r w:rsidRPr="00E31704">
        <w:rPr>
          <w:rFonts w:ascii="Times New Roman" w:hAnsi="Times New Roman"/>
          <w:szCs w:val="24"/>
          <w:highlight w:val="green"/>
          <w:lang w:val="en-GB"/>
        </w:rPr>
        <w:t xml:space="preserve"> applying a 10% FDR, </w:t>
      </w:r>
      <w:r>
        <w:rPr>
          <w:rFonts w:ascii="Times New Roman" w:hAnsi="Times New Roman"/>
          <w:szCs w:val="24"/>
          <w:highlight w:val="green"/>
          <w:lang w:val="en-GB"/>
        </w:rPr>
        <w:t xml:space="preserve">all </w:t>
      </w:r>
      <w:r w:rsidRPr="00E31704">
        <w:rPr>
          <w:rFonts w:ascii="Times New Roman" w:hAnsi="Times New Roman"/>
          <w:szCs w:val="24"/>
          <w:highlight w:val="green"/>
          <w:lang w:val="en-GB"/>
        </w:rPr>
        <w:t>statistical significances remained.</w:t>
      </w:r>
      <w:r>
        <w:rPr>
          <w:rFonts w:ascii="Times New Roman" w:hAnsi="Times New Roman"/>
          <w:szCs w:val="24"/>
          <w:lang w:val="en-GB"/>
        </w:rPr>
        <w:t xml:space="preserve"> </w:t>
      </w:r>
      <w:r w:rsidRPr="00065360">
        <w:rPr>
          <w:rFonts w:ascii="Times New Roman" w:hAnsi="Times New Roman"/>
          <w:szCs w:val="24"/>
          <w:lang w:val="en-GB"/>
        </w:rPr>
        <w:t xml:space="preserve">Note: </w:t>
      </w:r>
      <w:proofErr w:type="spell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hsCRP</w:t>
      </w:r>
      <w:proofErr w:type="spellEnd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, high sensitivity C-Reactive Protein; PLR,</w:t>
      </w:r>
      <w:r w:rsidRPr="00065360">
        <w:rPr>
          <w:rFonts w:ascii="Times New Roman" w:hAnsi="Times New Roman"/>
          <w:b/>
          <w:bCs/>
          <w:color w:val="000000"/>
          <w:szCs w:val="24"/>
          <w:lang w:val="en-GB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p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latelets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 to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lastRenderedPageBreak/>
        <w:t>l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ymphocyte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r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atio; NLR,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n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eutrophils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 to l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ymphocyte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r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atio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;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 </w:t>
      </w:r>
      <w:proofErr w:type="spell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nTreg</w:t>
      </w:r>
      <w:proofErr w:type="spellEnd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, naïve-</w:t>
      </w:r>
      <w:proofErr w:type="spell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Treg</w:t>
      </w:r>
      <w:proofErr w:type="spellEnd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; </w:t>
      </w:r>
      <w:proofErr w:type="spell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eTreg</w:t>
      </w:r>
      <w:proofErr w:type="spellEnd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, effector-</w:t>
      </w:r>
      <w:proofErr w:type="spellStart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>Treg</w:t>
      </w:r>
      <w:proofErr w:type="spellEnd"/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; N,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>n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aïve; CM, </w:t>
      </w:r>
      <w:r>
        <w:rPr>
          <w:rFonts w:ascii="Times New Roman" w:hAnsi="Times New Roman"/>
          <w:szCs w:val="24"/>
          <w:lang w:val="en-GB"/>
        </w:rPr>
        <w:t>c</w:t>
      </w:r>
      <w:r w:rsidRPr="00065360">
        <w:rPr>
          <w:rFonts w:ascii="Times New Roman" w:hAnsi="Times New Roman"/>
          <w:szCs w:val="24"/>
          <w:lang w:val="en-GB"/>
        </w:rPr>
        <w:t xml:space="preserve">entral </w:t>
      </w:r>
      <w:r>
        <w:rPr>
          <w:rFonts w:ascii="Times New Roman" w:hAnsi="Times New Roman"/>
          <w:szCs w:val="24"/>
          <w:lang w:val="en-GB"/>
        </w:rPr>
        <w:t>m</w:t>
      </w:r>
      <w:r w:rsidRPr="00065360">
        <w:rPr>
          <w:rFonts w:ascii="Times New Roman" w:hAnsi="Times New Roman"/>
          <w:szCs w:val="24"/>
          <w:lang w:val="en-GB"/>
        </w:rPr>
        <w:t xml:space="preserve">emory; EM, </w:t>
      </w:r>
      <w:r>
        <w:rPr>
          <w:rFonts w:ascii="Times New Roman" w:hAnsi="Times New Roman"/>
          <w:szCs w:val="24"/>
          <w:lang w:val="en-GB"/>
        </w:rPr>
        <w:t>e</w:t>
      </w:r>
      <w:r w:rsidRPr="00065360">
        <w:rPr>
          <w:rFonts w:ascii="Times New Roman" w:hAnsi="Times New Roman"/>
          <w:szCs w:val="24"/>
          <w:lang w:val="en-GB"/>
        </w:rPr>
        <w:t xml:space="preserve">ffector </w:t>
      </w:r>
      <w:r>
        <w:rPr>
          <w:rFonts w:ascii="Times New Roman" w:hAnsi="Times New Roman"/>
          <w:szCs w:val="24"/>
          <w:lang w:val="en-GB"/>
        </w:rPr>
        <w:t>m</w:t>
      </w:r>
      <w:r w:rsidRPr="00065360">
        <w:rPr>
          <w:rFonts w:ascii="Times New Roman" w:hAnsi="Times New Roman"/>
          <w:szCs w:val="24"/>
          <w:lang w:val="en-GB"/>
        </w:rPr>
        <w:t>emory;</w:t>
      </w:r>
      <w:r w:rsidRPr="00065360">
        <w:rPr>
          <w:rFonts w:ascii="Times New Roman" w:hAnsi="Times New Roman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  <w:lang w:val="en-GB"/>
        </w:rPr>
        <w:t xml:space="preserve">and </w:t>
      </w:r>
      <w:proofErr w:type="spellStart"/>
      <w:r w:rsidRPr="00065360">
        <w:rPr>
          <w:rFonts w:ascii="Times New Roman" w:hAnsi="Times New Roman"/>
          <w:szCs w:val="24"/>
          <w:lang w:val="en-GB"/>
        </w:rPr>
        <w:t>TemRA</w:t>
      </w:r>
      <w:proofErr w:type="spellEnd"/>
      <w:r w:rsidRPr="00065360">
        <w:rPr>
          <w:rFonts w:ascii="Times New Roman" w:hAnsi="Times New Roman"/>
          <w:szCs w:val="24"/>
          <w:lang w:val="en-GB"/>
        </w:rPr>
        <w:t xml:space="preserve">, </w:t>
      </w:r>
      <w:r>
        <w:rPr>
          <w:rFonts w:ascii="Times New Roman" w:hAnsi="Times New Roman"/>
          <w:szCs w:val="24"/>
          <w:lang w:val="en-GB"/>
        </w:rPr>
        <w:t>t</w:t>
      </w:r>
      <w:r w:rsidRPr="00065360">
        <w:rPr>
          <w:rFonts w:ascii="Times New Roman" w:hAnsi="Times New Roman"/>
          <w:szCs w:val="24"/>
          <w:lang w:val="en-GB"/>
        </w:rPr>
        <w:t>erminal</w:t>
      </w:r>
      <w:r>
        <w:rPr>
          <w:rFonts w:ascii="Times New Roman" w:hAnsi="Times New Roman"/>
          <w:szCs w:val="24"/>
          <w:lang w:val="en-GB"/>
        </w:rPr>
        <w:t xml:space="preserve">ly </w:t>
      </w:r>
      <w:r w:rsidRPr="00065360">
        <w:rPr>
          <w:rFonts w:ascii="Times New Roman" w:hAnsi="Times New Roman"/>
          <w:szCs w:val="24"/>
          <w:lang w:val="en-GB"/>
        </w:rPr>
        <w:t xml:space="preserve">differentiated effector memory. </w:t>
      </w:r>
      <w:r w:rsidRPr="00065360">
        <w:rPr>
          <w:rFonts w:ascii="Times New Roman" w:hAnsi="Times New Roman"/>
          <w:b/>
          <w:bCs/>
          <w:color w:val="000000"/>
          <w:szCs w:val="24"/>
          <w:vertAlign w:val="superscript"/>
          <w:lang w:val="en-GB"/>
        </w:rPr>
        <w:t xml:space="preserve">(#) 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Thymic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 xml:space="preserve"> failure is defined as</w:t>
      </w:r>
      <w:r>
        <w:rPr>
          <w:rFonts w:ascii="Times New Roman" w:hAnsi="Times New Roman"/>
          <w:bCs/>
          <w:color w:val="000000"/>
          <w:szCs w:val="24"/>
          <w:lang w:val="en-GB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Cs w:val="24"/>
          <w:lang w:val="en-GB"/>
        </w:rPr>
        <w:t>an</w:t>
      </w:r>
      <w:proofErr w:type="gramEnd"/>
      <w:r w:rsidRPr="00065360">
        <w:rPr>
          <w:rFonts w:ascii="Times New Roman" w:hAnsi="Times New Roman"/>
          <w:bCs/>
          <w:color w:val="000000"/>
          <w:szCs w:val="24"/>
          <w:lang w:val="en-GB"/>
        </w:rPr>
        <w:t xml:space="preserve"> </w:t>
      </w:r>
      <w:proofErr w:type="spellStart"/>
      <w:r w:rsidRPr="00065360">
        <w:rPr>
          <w:rFonts w:ascii="Times New Roman" w:hAnsi="Times New Roman"/>
          <w:bCs/>
          <w:color w:val="000000"/>
          <w:szCs w:val="24"/>
          <w:lang w:val="en-GB"/>
        </w:rPr>
        <w:t>sj</w:t>
      </w:r>
      <w:proofErr w:type="spellEnd"/>
      <w:r w:rsidRPr="00065360">
        <w:rPr>
          <w:rFonts w:ascii="Times New Roman" w:hAnsi="Times New Roman"/>
          <w:bCs/>
          <w:color w:val="000000"/>
          <w:szCs w:val="24"/>
          <w:lang w:val="en-GB"/>
        </w:rPr>
        <w:t>/</w:t>
      </w:r>
      <w:r w:rsidRPr="00065360">
        <w:rPr>
          <w:rFonts w:ascii="Times New Roman" w:hAnsi="Times New Roman"/>
          <w:bCs/>
          <w:color w:val="000000"/>
          <w:szCs w:val="24"/>
          <w:lang w:val="en-GB"/>
        </w:rPr>
        <w:sym w:font="Symbol" w:char="F062"/>
      </w:r>
      <w:r w:rsidRPr="00065360">
        <w:rPr>
          <w:rFonts w:ascii="Times New Roman" w:hAnsi="Times New Roman"/>
          <w:bCs/>
          <w:color w:val="000000"/>
          <w:szCs w:val="24"/>
          <w:lang w:val="en-GB"/>
        </w:rPr>
        <w:t xml:space="preserve"> TREC ratio&lt;10</w:t>
      </w:r>
      <w:r w:rsidRPr="00065360">
        <w:rPr>
          <w:rFonts w:ascii="Times New Roman" w:hAnsi="Times New Roman"/>
          <w:szCs w:val="24"/>
          <w:lang w:val="en-GB"/>
        </w:rPr>
        <w:t>.</w:t>
      </w:r>
      <w:r>
        <w:rPr>
          <w:rFonts w:ascii="Times New Roman" w:hAnsi="Times New Roman"/>
          <w:szCs w:val="24"/>
          <w:lang w:val="en-GB"/>
        </w:rPr>
        <w:t xml:space="preserve"> </w:t>
      </w:r>
      <w:r w:rsidRPr="00B47D30">
        <w:rPr>
          <w:rFonts w:ascii="Times New Roman" w:hAnsi="Times New Roman"/>
          <w:bCs/>
          <w:color w:val="000000"/>
          <w:szCs w:val="24"/>
          <w:highlight w:val="green"/>
          <w:vertAlign w:val="superscript"/>
          <w:lang w:val="en-GB"/>
        </w:rPr>
        <w:t>1</w:t>
      </w:r>
      <w:r w:rsidRPr="00B47D30">
        <w:rPr>
          <w:rFonts w:ascii="Times New Roman" w:hAnsi="Times New Roman"/>
          <w:bCs/>
          <w:color w:val="000000"/>
          <w:szCs w:val="24"/>
          <w:highlight w:val="green"/>
          <w:lang w:val="en-GB"/>
        </w:rPr>
        <w:t xml:space="preserve">Details </w:t>
      </w:r>
      <w:proofErr w:type="gramStart"/>
      <w:r w:rsidRPr="00B47D30">
        <w:rPr>
          <w:rFonts w:ascii="Times New Roman" w:hAnsi="Times New Roman"/>
          <w:bCs/>
          <w:color w:val="000000"/>
          <w:szCs w:val="24"/>
          <w:highlight w:val="green"/>
          <w:lang w:val="en-GB"/>
        </w:rPr>
        <w:t>of</w:t>
      </w:r>
      <w:proofErr w:type="gramEnd"/>
      <w:r w:rsidRPr="00B47D30">
        <w:rPr>
          <w:rFonts w:ascii="Times New Roman" w:hAnsi="Times New Roman"/>
          <w:bCs/>
          <w:color w:val="000000"/>
          <w:szCs w:val="24"/>
          <w:highlight w:val="green"/>
          <w:lang w:val="en-GB"/>
        </w:rPr>
        <w:t xml:space="preserve"> comorbidities recorded are shown in Table S5</w:t>
      </w:r>
      <w:r>
        <w:rPr>
          <w:rFonts w:ascii="Times New Roman" w:hAnsi="Times New Roman"/>
          <w:bCs/>
          <w:color w:val="000000"/>
          <w:szCs w:val="24"/>
          <w:highlight w:val="green"/>
          <w:lang w:val="en-GB"/>
        </w:rPr>
        <w:t xml:space="preserve">. </w:t>
      </w:r>
      <w:r w:rsidRPr="00B47D30">
        <w:rPr>
          <w:rFonts w:ascii="Times New Roman" w:hAnsi="Times New Roman"/>
          <w:bCs/>
          <w:color w:val="000000"/>
          <w:szCs w:val="24"/>
          <w:highlight w:val="green"/>
          <w:vertAlign w:val="superscript"/>
          <w:lang w:val="en-GB"/>
        </w:rPr>
        <w:t>2</w:t>
      </w:r>
      <w:r w:rsidRPr="00B47D30">
        <w:rPr>
          <w:rFonts w:ascii="Times New Roman" w:hAnsi="Times New Roman"/>
          <w:bCs/>
          <w:color w:val="000000"/>
          <w:szCs w:val="24"/>
          <w:highlight w:val="green"/>
          <w:lang w:val="en-GB"/>
        </w:rPr>
        <w:t>100 is totally independent and &lt;20 is totally dependent.</w:t>
      </w:r>
    </w:p>
    <w:p w:rsidR="00C13D3B" w:rsidRDefault="00C13D3B">
      <w:bookmarkStart w:id="0" w:name="_GoBack"/>
      <w:bookmarkEnd w:id="0"/>
    </w:p>
    <w:sectPr w:rsidR="00C13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Pro-Regular">
    <w:altName w:val="MS Mincho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3B"/>
    <w:rsid w:val="0042031C"/>
    <w:rsid w:val="00694125"/>
    <w:rsid w:val="007F5099"/>
    <w:rsid w:val="00C13D3B"/>
    <w:rsid w:val="00F2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1C"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qFormat/>
    <w:rsid w:val="0042031C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link w:val="Heading2Char"/>
    <w:qFormat/>
    <w:rsid w:val="0042031C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link w:val="Heading3Char"/>
    <w:qFormat/>
    <w:rsid w:val="0042031C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31C"/>
    <w:rPr>
      <w:rFonts w:ascii="Myriad Pro Light" w:hAnsi="Myriad Pro Light" w:cs="Arial"/>
      <w:b/>
      <w:bC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42031C"/>
    <w:rPr>
      <w:rFonts w:ascii="Myriad Pro Light" w:hAnsi="Myriad Pro Light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42031C"/>
    <w:rPr>
      <w:rFonts w:ascii="Myriad Pro Light" w:hAnsi="Myriad Pro Light" w:cs="Arial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4203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1943</Characters>
  <Application>Microsoft Office Word</Application>
  <DocSecurity>0</DocSecurity>
  <Lines>58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2019-06-27T23:46:00Z</dcterms:created>
  <dcterms:modified xsi:type="dcterms:W3CDTF">2019-06-27T23:47:00Z</dcterms:modified>
</cp:coreProperties>
</file>