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8E" w:rsidRDefault="0054618E">
      <w:pPr>
        <w:spacing w:line="216" w:lineRule="auto"/>
        <w:rPr>
          <w:rFonts w:ascii="Times New Roman" w:hAnsi="Times New Roman" w:cs="Times New Roman"/>
          <w:b/>
          <w:szCs w:val="21"/>
        </w:rPr>
      </w:pPr>
    </w:p>
    <w:p w:rsidR="0054618E" w:rsidRDefault="00032B93">
      <w:pPr>
        <w:spacing w:line="216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noProof/>
          <w:szCs w:val="21"/>
          <w:lang w:val="en-GB" w:eastAsia="en-GB"/>
        </w:rPr>
        <w:drawing>
          <wp:inline distT="0" distB="0" distL="0" distR="0">
            <wp:extent cx="5902325" cy="3250565"/>
            <wp:effectExtent l="0" t="0" r="317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551" cy="3271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18E" w:rsidRDefault="0054618E">
      <w:pPr>
        <w:spacing w:line="216" w:lineRule="auto"/>
        <w:rPr>
          <w:rFonts w:ascii="Times New Roman" w:hAnsi="Times New Roman" w:cs="Times New Roman"/>
          <w:b/>
          <w:szCs w:val="21"/>
        </w:rPr>
      </w:pPr>
    </w:p>
    <w:p w:rsidR="0054618E" w:rsidRDefault="00032B93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1"/>
        </w:rPr>
      </w:pPr>
      <w:bookmarkStart w:id="0" w:name="_Hlk519240256"/>
      <w:r>
        <w:rPr>
          <w:rStyle w:val="fontstyle01"/>
          <w:sz w:val="24"/>
        </w:rPr>
        <w:t xml:space="preserve">Figure </w:t>
      </w:r>
      <w:r w:rsidR="00C81B2E">
        <w:rPr>
          <w:rStyle w:val="fontstyle01"/>
          <w:sz w:val="24"/>
        </w:rPr>
        <w:t>S1</w:t>
      </w:r>
      <w:r>
        <w:rPr>
          <w:rStyle w:val="fontstyle01"/>
          <w:sz w:val="24"/>
        </w:rPr>
        <w:t xml:space="preserve">. </w:t>
      </w:r>
      <w:r>
        <w:rPr>
          <w:rStyle w:val="fontstyle21"/>
          <w:sz w:val="24"/>
        </w:rPr>
        <w:t>Flowchart of the participant enrolment</w:t>
      </w:r>
    </w:p>
    <w:bookmarkEnd w:id="0"/>
    <w:p w:rsidR="0054618E" w:rsidRDefault="0054618E">
      <w:pPr>
        <w:spacing w:line="216" w:lineRule="auto"/>
        <w:rPr>
          <w:rFonts w:ascii="Times New Roman" w:hAnsi="Times New Roman" w:cs="Times New Roman"/>
          <w:b/>
          <w:sz w:val="28"/>
          <w:szCs w:val="21"/>
        </w:rPr>
      </w:pPr>
    </w:p>
    <w:p w:rsidR="0054618E" w:rsidRDefault="0054618E">
      <w:pPr>
        <w:spacing w:line="216" w:lineRule="auto"/>
        <w:rPr>
          <w:rFonts w:ascii="Times New Roman" w:hAnsi="Times New Roman" w:cs="Times New Roman"/>
          <w:b/>
          <w:szCs w:val="21"/>
        </w:rPr>
        <w:sectPr w:rsidR="0054618E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4618E" w:rsidRDefault="00C81B2E">
      <w:pPr>
        <w:widowControl/>
        <w:rPr>
          <w:rFonts w:ascii="Times New Roman" w:eastAsia="SimSun" w:hAnsi="Times New Roman" w:cs="Times New Roman"/>
          <w:b/>
          <w:bCs/>
          <w:kern w:val="0"/>
          <w:sz w:val="28"/>
          <w:szCs w:val="24"/>
        </w:rPr>
      </w:pPr>
      <w:r>
        <w:rPr>
          <w:rFonts w:ascii="Times New Roman" w:eastAsia="SimSun" w:hAnsi="Times New Roman" w:cs="Times New Roman"/>
          <w:b/>
          <w:bCs/>
          <w:kern w:val="0"/>
          <w:sz w:val="28"/>
          <w:szCs w:val="24"/>
        </w:rPr>
        <w:lastRenderedPageBreak/>
        <w:t>Additional file</w:t>
      </w:r>
    </w:p>
    <w:p w:rsidR="0054618E" w:rsidRDefault="00032B93">
      <w:pPr>
        <w:spacing w:after="0"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0"/>
          <w:sz w:val="24"/>
          <w:szCs w:val="24"/>
          <w:lang w:bidi="ar"/>
        </w:rPr>
        <w:t xml:space="preserve">Table </w:t>
      </w:r>
      <w:r w:rsidR="00C81B2E">
        <w:rPr>
          <w:rFonts w:ascii="Times New Roman" w:eastAsia="SimSun" w:hAnsi="Times New Roman" w:cs="Times New Roman"/>
          <w:b/>
          <w:kern w:val="0"/>
          <w:sz w:val="24"/>
          <w:szCs w:val="24"/>
          <w:lang w:bidi="ar"/>
        </w:rPr>
        <w:t>S1</w:t>
      </w:r>
      <w:r>
        <w:rPr>
          <w:rFonts w:ascii="Times New Roman" w:eastAsia="SimSun" w:hAnsi="Times New Roman" w:cs="Times New Roman"/>
          <w:b/>
          <w:kern w:val="0"/>
          <w:sz w:val="24"/>
          <w:szCs w:val="24"/>
          <w:lang w:bidi="ar"/>
        </w:rPr>
        <w:t>.</w:t>
      </w:r>
      <w:r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  <w:t xml:space="preserve"> Role of potential mediators in explaining the association between each 1 mg/L increase in the hsCRP concentration and </w:t>
      </w:r>
      <w:r>
        <w:rPr>
          <w:rFonts w:ascii="Times New Roman" w:eastAsia="等线" w:hAnsi="Times New Roman" w:cs="Times New Roman"/>
          <w:sz w:val="24"/>
          <w:szCs w:val="24"/>
          <w:lang w:bidi="ar"/>
        </w:rPr>
        <w:t>all-cause, cardiovascular and cancer mortality</w:t>
      </w:r>
    </w:p>
    <w:tbl>
      <w:tblPr>
        <w:tblStyle w:val="TableGrid"/>
        <w:tblW w:w="16019" w:type="dxa"/>
        <w:tblInd w:w="-856" w:type="dxa"/>
        <w:tblBorders>
          <w:top w:val="single" w:sz="12" w:space="0" w:color="auto"/>
          <w:bottom w:val="single" w:sz="12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827"/>
        <w:gridCol w:w="284"/>
        <w:gridCol w:w="3685"/>
        <w:gridCol w:w="284"/>
        <w:gridCol w:w="4111"/>
      </w:tblGrid>
      <w:tr w:rsidR="0054618E">
        <w:trPr>
          <w:trHeight w:val="594"/>
        </w:trPr>
        <w:tc>
          <w:tcPr>
            <w:tcW w:w="382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Model</w:t>
            </w:r>
          </w:p>
        </w:tc>
        <w:tc>
          <w:tcPr>
            <w:tcW w:w="1219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 xml:space="preserve">HRs (95% CI) of mortality </w:t>
            </w:r>
          </w:p>
        </w:tc>
      </w:tr>
      <w:tr w:rsidR="0054618E">
        <w:trPr>
          <w:trHeight w:val="739"/>
        </w:trPr>
        <w:tc>
          <w:tcPr>
            <w:tcW w:w="3828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4618E" w:rsidRDefault="0054618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All-cause mortality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Cardiovascular mortality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 xml:space="preserve">Cancer 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lang w:bidi="ar"/>
              </w:rPr>
              <w:t>mortality</w:t>
            </w:r>
          </w:p>
        </w:tc>
      </w:tr>
      <w:tr w:rsidR="0054618E">
        <w:tc>
          <w:tcPr>
            <w:tcW w:w="38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Model 2</w:t>
            </w:r>
            <w:r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  <w:vertAlign w:val="superscript"/>
                <w:lang w:bidi="ar"/>
              </w:rPr>
              <w:t>†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1.08 (1.05-1.10)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 (1.02-1.10)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(1.05-1.15)</w:t>
            </w:r>
          </w:p>
        </w:tc>
      </w:tr>
      <w:tr w:rsidR="0054618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Model 2+</w:t>
            </w:r>
            <w:r>
              <w:rPr>
                <w:rFonts w:ascii="等线" w:eastAsia="等线" w:hAnsi="等线" w:cs="Times New Roman"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hypertension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1.07 (1.05-1.10)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 (1.02-1.09)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(1.05-1.15)</w:t>
            </w:r>
          </w:p>
        </w:tc>
      </w:tr>
      <w:tr w:rsidR="0054618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Model 2+ diabetes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1.08 (1.06-1.10)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 (1.03-1.10)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(1.06-1.15)</w:t>
            </w:r>
          </w:p>
        </w:tc>
      </w:tr>
      <w:tr w:rsidR="0054618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Model 2+ heart disease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 xml:space="preserve">1.08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(1.06-1.10)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 (1.03-1.10)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(1.05-1.15)</w:t>
            </w:r>
          </w:p>
        </w:tc>
      </w:tr>
      <w:tr w:rsidR="0054618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Model 2+ stroke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1.08 (1.05-1.10)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 (1.02-1.10)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(1.05-1.15)</w:t>
            </w:r>
          </w:p>
        </w:tc>
      </w:tr>
      <w:tr w:rsidR="0054618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Model 2+ psychological problems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1.08 (1.05-1.10)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 (1.02-1.10)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(1.05-1.15)</w:t>
            </w:r>
          </w:p>
        </w:tc>
      </w:tr>
      <w:tr w:rsidR="0054618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Model 2+ pulmonary disorders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1.07 (1.05-1.09)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 xml:space="preserve"> (1.02-1.09)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(1.05-1.15)</w:t>
            </w:r>
          </w:p>
        </w:tc>
      </w:tr>
      <w:tr w:rsidR="0054618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lastRenderedPageBreak/>
              <w:t>Model 2+ ADL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1.08 (1.06-1.10)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 (1.03-1.10)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(1.05-1.15)</w:t>
            </w:r>
          </w:p>
        </w:tc>
      </w:tr>
      <w:tr w:rsidR="0054618E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Model 2+ CES-D 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1.08 (1.05-1.10)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 (1.02-1.10)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(1.05-1.15)</w:t>
            </w:r>
          </w:p>
        </w:tc>
      </w:tr>
      <w:tr w:rsidR="0054618E"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Fully adjusted model</w:t>
            </w:r>
            <w:r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  <w:vertAlign w:val="superscript"/>
                <w:lang w:bidi="ar"/>
              </w:rPr>
              <w:t>‡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1.07 (1.05-1.10)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1.06 (1.02-1.10)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bidi="ar"/>
              </w:rPr>
              <w:t>1.10 (1.05-1.15)</w:t>
            </w:r>
          </w:p>
        </w:tc>
      </w:tr>
    </w:tbl>
    <w:p w:rsidR="0054618E" w:rsidRDefault="00032B93">
      <w:pPr>
        <w:spacing w:after="0"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  <w:t>8-question</w:t>
      </w:r>
      <w:r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  <w:t xml:space="preserve"> Center for Epidemiologic Studies Depression Scale: (CES-D 8);</w:t>
      </w:r>
    </w:p>
    <w:p w:rsidR="0054618E" w:rsidRDefault="00032B93">
      <w:pPr>
        <w:spacing w:after="0"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bidi="ar"/>
        </w:rPr>
        <w:t>†</w:t>
      </w:r>
      <w:r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  <w:t xml:space="preserve"> adjusted for </w:t>
      </w:r>
      <w:r>
        <w:rPr>
          <w:rFonts w:ascii="Times New Roman" w:eastAsia="等线" w:hAnsi="Times New Roman" w:cs="Times New Roman"/>
          <w:sz w:val="24"/>
          <w:szCs w:val="24"/>
          <w:lang w:bidi="ar"/>
        </w:rPr>
        <w:t>age, sex,</w:t>
      </w:r>
      <w:r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  <w:t xml:space="preserve"> race, educational level, current smoking status, alcohol consumption, regular exercise, body mass index (BMI), household income, total cholesterol (TC) concentration, high density lipoprotein-cholesterol (HDL-C) concentration, and hemoglobin A1c (HbA1c);</w:t>
      </w:r>
    </w:p>
    <w:p w:rsidR="0054618E" w:rsidRDefault="00032B93">
      <w:pPr>
        <w:spacing w:after="0" w:line="480" w:lineRule="auto"/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</w:pPr>
      <w:r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  <w:lang w:bidi="ar"/>
        </w:rPr>
        <w:t>‡</w:t>
      </w:r>
      <w:r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  <w:t>model 2 plus adjusted for CES-D 8 score, hypertension, heart disease, stroke, cancer, diabetes, pulmonary disorder, psychiatric problems, and limitations in activities of daily living (ADLs).</w:t>
      </w:r>
      <w:r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  <w:br w:type="page"/>
      </w:r>
    </w:p>
    <w:p w:rsidR="0054618E" w:rsidRDefault="00032B93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C81B2E">
        <w:rPr>
          <w:rFonts w:ascii="Times New Roman" w:eastAsia="等线" w:hAnsi="Times New Roman" w:cs="Times New Roman"/>
          <w:b/>
          <w:bCs/>
          <w:sz w:val="24"/>
          <w:szCs w:val="24"/>
        </w:rPr>
        <w:t>S2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sz w:val="24"/>
          <w:szCs w:val="24"/>
        </w:rPr>
        <w:t xml:space="preserve"> Multivariable hazard ratios (HR [95% CI]) of mortali</w:t>
      </w:r>
      <w:r>
        <w:rPr>
          <w:rFonts w:ascii="Times New Roman" w:eastAsia="等线" w:hAnsi="Times New Roman" w:cs="Times New Roman"/>
          <w:sz w:val="24"/>
          <w:szCs w:val="24"/>
        </w:rPr>
        <w:t xml:space="preserve">ty by </w:t>
      </w:r>
      <w:bookmarkStart w:id="1" w:name="OLE_LINK2"/>
      <w:r>
        <w:rPr>
          <w:rFonts w:ascii="Times New Roman" w:eastAsia="等线" w:hAnsi="Times New Roman" w:cs="Times New Roman"/>
          <w:sz w:val="24"/>
          <w:szCs w:val="24"/>
        </w:rPr>
        <w:t>quartiles</w:t>
      </w:r>
      <w:bookmarkEnd w:id="1"/>
      <w:r>
        <w:rPr>
          <w:rFonts w:ascii="Times New Roman" w:eastAsia="等线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high-sensitivity </w:t>
      </w:r>
      <w:r>
        <w:rPr>
          <w:rFonts w:ascii="Times New Roman" w:hAnsi="Times New Roman" w:cs="Times New Roman"/>
          <w:kern w:val="0"/>
          <w:sz w:val="24"/>
          <w:szCs w:val="24"/>
        </w:rPr>
        <w:t>C-reactive protein</w:t>
      </w:r>
      <w:r>
        <w:rPr>
          <w:rFonts w:ascii="Times New Roman" w:eastAsia="等线" w:hAnsi="Times New Roman" w:cs="Times New Roman"/>
          <w:sz w:val="24"/>
          <w:szCs w:val="24"/>
        </w:rPr>
        <w:t xml:space="preserve"> after excluding deaths during the first two years of follow-up</w:t>
      </w:r>
    </w:p>
    <w:tbl>
      <w:tblPr>
        <w:tblStyle w:val="TableGrid"/>
        <w:tblW w:w="1395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718"/>
        <w:gridCol w:w="368"/>
        <w:gridCol w:w="3490"/>
        <w:gridCol w:w="366"/>
        <w:gridCol w:w="2755"/>
      </w:tblGrid>
      <w:tr w:rsidR="0054618E">
        <w:trPr>
          <w:trHeight w:val="659"/>
          <w:jc w:val="center"/>
        </w:trPr>
        <w:tc>
          <w:tcPr>
            <w:tcW w:w="32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HsCRP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quartiles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(mg/L)</w:t>
            </w:r>
          </w:p>
        </w:tc>
        <w:tc>
          <w:tcPr>
            <w:tcW w:w="37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3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Cardiovascular mortality</w:t>
            </w:r>
          </w:p>
        </w:tc>
        <w:tc>
          <w:tcPr>
            <w:tcW w:w="3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Cancer mortality</w:t>
            </w:r>
          </w:p>
        </w:tc>
      </w:tr>
      <w:tr w:rsidR="0054618E">
        <w:trPr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 (&lt;0.76)</w:t>
            </w: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(reference)</w:t>
            </w:r>
          </w:p>
        </w:tc>
      </w:tr>
      <w:tr w:rsidR="0054618E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Q2 (0.76-1.50)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(0.8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(0.8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44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1.02 (0.72-1.44)</w:t>
            </w:r>
          </w:p>
        </w:tc>
      </w:tr>
      <w:tr w:rsidR="0054618E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Q3 (1.51-2.76)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(0.9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(0.84-1.4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(0.8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-1.6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Q4 (&gt;2.76)</w:t>
            </w: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-1.6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1.3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(1.05-1.80)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1.6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for trend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</w:tbl>
    <w:p w:rsidR="0054618E" w:rsidRDefault="00032B93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</w:rPr>
        <w:t>†</w:t>
      </w:r>
      <w:r>
        <w:t xml:space="preserve">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Adjusted for age, sex, race, educational level, current smoking status, alcohol consumption, regular exercise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body mass index (BMI), household income,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t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otal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c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holesterol (TC) concentration,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igh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d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ensity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l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ipoprotein-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ch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olesterol (HDL-C) concentration,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and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h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emoglobin A1c (HbA1c).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br w:type="page"/>
      </w:r>
    </w:p>
    <w:p w:rsidR="0054618E" w:rsidRDefault="00032B93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C81B2E">
        <w:rPr>
          <w:rFonts w:ascii="Times New Roman" w:eastAsia="等线" w:hAnsi="Times New Roman" w:cs="Times New Roman"/>
          <w:b/>
          <w:bCs/>
          <w:sz w:val="24"/>
          <w:szCs w:val="24"/>
        </w:rPr>
        <w:t>S3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sz w:val="24"/>
          <w:szCs w:val="24"/>
        </w:rPr>
        <w:t xml:space="preserve"> Multivariable hazard ratios </w:t>
      </w:r>
      <w:bookmarkStart w:id="2" w:name="_Hlk1735809"/>
      <w:r>
        <w:rPr>
          <w:rFonts w:ascii="Times New Roman" w:eastAsia="等线" w:hAnsi="Times New Roman" w:cs="Times New Roman"/>
          <w:sz w:val="24"/>
          <w:szCs w:val="24"/>
        </w:rPr>
        <w:t>(HR [95% CI])</w:t>
      </w:r>
      <w:bookmarkEnd w:id="2"/>
      <w:r>
        <w:rPr>
          <w:rFonts w:ascii="Times New Roman" w:eastAsia="等线" w:hAnsi="Times New Roman" w:cs="Times New Roman"/>
          <w:sz w:val="24"/>
          <w:szCs w:val="24"/>
        </w:rPr>
        <w:t xml:space="preserve"> of mortality by tertiles of </w:t>
      </w:r>
      <w:bookmarkStart w:id="3" w:name="_Hlk1736023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high-sensitivity </w:t>
      </w:r>
      <w:r>
        <w:rPr>
          <w:rFonts w:ascii="Times New Roman" w:hAnsi="Times New Roman" w:cs="Times New Roman"/>
          <w:kern w:val="0"/>
          <w:sz w:val="24"/>
          <w:szCs w:val="24"/>
        </w:rPr>
        <w:t>C-reactive protein</w:t>
      </w:r>
      <w:bookmarkEnd w:id="3"/>
    </w:p>
    <w:tbl>
      <w:tblPr>
        <w:tblStyle w:val="TableGrid"/>
        <w:tblW w:w="1395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2887"/>
        <w:gridCol w:w="399"/>
        <w:gridCol w:w="3986"/>
        <w:gridCol w:w="399"/>
        <w:gridCol w:w="3191"/>
      </w:tblGrid>
      <w:tr w:rsidR="0054618E">
        <w:trPr>
          <w:trHeight w:val="659"/>
          <w:jc w:val="center"/>
        </w:trPr>
        <w:tc>
          <w:tcPr>
            <w:tcW w:w="30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4" w:name="OLE_LINK1"/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HsCRP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tertiles</w:t>
            </w:r>
            <w:bookmarkEnd w:id="4"/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(mg/L)</w:t>
            </w:r>
          </w:p>
        </w:tc>
        <w:tc>
          <w:tcPr>
            <w:tcW w:w="28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3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Cardiovascular mortality</w:t>
            </w:r>
          </w:p>
        </w:tc>
        <w:tc>
          <w:tcPr>
            <w:tcW w:w="39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Cancer mortality</w:t>
            </w:r>
          </w:p>
        </w:tc>
      </w:tr>
      <w:tr w:rsidR="0054618E">
        <w:trPr>
          <w:jc w:val="center"/>
        </w:trPr>
        <w:tc>
          <w:tcPr>
            <w:tcW w:w="3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 (&lt;1.14 mg/L)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1.00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(reference)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(reference)</w:t>
            </w:r>
          </w:p>
        </w:tc>
      </w:tr>
      <w:tr w:rsidR="0054618E">
        <w:trPr>
          <w:jc w:val="center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Q2 (1.14-2.78 mg/L)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(0.9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-1.4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-1.5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Q3 (&gt;2.78 mg/L)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26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60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1.46 (1.19-1.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79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-1.9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0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for trend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</w:tbl>
    <w:p w:rsidR="0054618E" w:rsidRDefault="00032B93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</w:rPr>
        <w:t>†</w:t>
      </w:r>
      <w:r>
        <w:t xml:space="preserve">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Adjusted for age, sex,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race, educational level, current smoking status, alcohol consumption, regular exercise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body mass index (BMI), household income, total cholesterol (TC) concentration, high density lipoprotein-cholesterol (HDL-C) concentration, and hemoglobin A1c (HbA1c).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br w:type="page"/>
      </w:r>
    </w:p>
    <w:p w:rsidR="0054618E" w:rsidRDefault="00032B93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C81B2E">
        <w:rPr>
          <w:rFonts w:ascii="Times New Roman" w:eastAsia="等线" w:hAnsi="Times New Roman" w:cs="Times New Roman"/>
          <w:b/>
          <w:bCs/>
          <w:sz w:val="24"/>
          <w:szCs w:val="24"/>
        </w:rPr>
        <w:t>S4</w:t>
      </w:r>
      <w:r>
        <w:rPr>
          <w:rFonts w:ascii="Times New Roman" w:eastAsia="等线" w:hAnsi="Times New Roman" w:cs="Times New Roman"/>
          <w:sz w:val="24"/>
          <w:szCs w:val="24"/>
        </w:rPr>
        <w:t xml:space="preserve"> Multivariable hazard ratios (HR [95% CI]) of mortality by quintile</w:t>
      </w:r>
      <w:r>
        <w:rPr>
          <w:rFonts w:ascii="Times New Roman" w:eastAsia="等线" w:hAnsi="Times New Roman" w:cs="Times New Roman" w:hint="eastAsia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high-sensitivity </w:t>
      </w:r>
      <w:r>
        <w:rPr>
          <w:rFonts w:ascii="Times New Roman" w:hAnsi="Times New Roman" w:cs="Times New Roman"/>
          <w:kern w:val="0"/>
          <w:sz w:val="24"/>
          <w:szCs w:val="24"/>
        </w:rPr>
        <w:t>C-reactive protein</w:t>
      </w:r>
    </w:p>
    <w:tbl>
      <w:tblPr>
        <w:tblStyle w:val="TableGrid"/>
        <w:tblW w:w="1395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4"/>
        <w:gridCol w:w="3023"/>
        <w:gridCol w:w="511"/>
        <w:gridCol w:w="3534"/>
        <w:gridCol w:w="374"/>
        <w:gridCol w:w="2792"/>
      </w:tblGrid>
      <w:tr w:rsidR="0054618E">
        <w:trPr>
          <w:trHeight w:val="659"/>
          <w:jc w:val="center"/>
        </w:trPr>
        <w:tc>
          <w:tcPr>
            <w:tcW w:w="37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HsCRP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quintiles (mg/L)</w:t>
            </w:r>
          </w:p>
        </w:tc>
        <w:tc>
          <w:tcPr>
            <w:tcW w:w="30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5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Cardiovascular mortality</w:t>
            </w:r>
          </w:p>
        </w:tc>
        <w:tc>
          <w:tcPr>
            <w:tcW w:w="3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Cancer mortality</w:t>
            </w:r>
          </w:p>
        </w:tc>
      </w:tr>
      <w:tr w:rsidR="0054618E">
        <w:trPr>
          <w:jc w:val="center"/>
        </w:trPr>
        <w:tc>
          <w:tcPr>
            <w:tcW w:w="3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Q1 (&lt;0.71)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1.00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(reference)</w:t>
            </w:r>
          </w:p>
        </w:tc>
      </w:tr>
      <w:tr w:rsidR="0054618E">
        <w:trPr>
          <w:jc w:val="center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Q2 (0.71-1.37)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 (0.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(0.8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-1.4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(0.72-1.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Q3 (1.38-2.31)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(0.9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(0.8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-1.7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Q4 (2.32-4.17)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(1.0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-1.8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1.3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(0.9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-1.9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Q5 (&gt;4.17)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54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-1.7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1.57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(1.21-2.04)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72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-2.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7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for trend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</w:tbl>
    <w:p w:rsidR="0054618E" w:rsidRDefault="00032B93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</w:rPr>
        <w:t>†</w:t>
      </w:r>
      <w:r>
        <w:t xml:space="preserve">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Adjusted for age, sex, race, educational level, current smoking status, alcohol consumption, regular exercise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body mass index (BMI), household income, total cholesterol (TC) concentration, high density lipoprotein-cholesterol (HDL-C) concentration, and hemoglobin A1c (HbA1c).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br w:type="page"/>
      </w:r>
    </w:p>
    <w:p w:rsidR="0054618E" w:rsidRDefault="00032B93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C81B2E">
        <w:rPr>
          <w:rFonts w:ascii="Times New Roman" w:eastAsia="等线" w:hAnsi="Times New Roman" w:cs="Times New Roman"/>
          <w:b/>
          <w:bCs/>
          <w:sz w:val="24"/>
          <w:szCs w:val="24"/>
        </w:rPr>
        <w:t>S5</w:t>
      </w:r>
      <w:bookmarkStart w:id="5" w:name="_GoBack"/>
      <w:bookmarkEnd w:id="5"/>
      <w:r>
        <w:rPr>
          <w:rFonts w:ascii="Times New Roman" w:eastAsia="等线" w:hAnsi="Times New Roman" w:cs="Times New Roman"/>
          <w:sz w:val="24"/>
          <w:szCs w:val="24"/>
        </w:rPr>
        <w:t xml:space="preserve"> Multivariable hazard ratios (HR [95% CI]) of mortality by clinical categories of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high-sensitivity </w:t>
      </w:r>
      <w:r>
        <w:rPr>
          <w:rFonts w:ascii="Times New Roman" w:hAnsi="Times New Roman" w:cs="Times New Roman"/>
          <w:kern w:val="0"/>
          <w:sz w:val="24"/>
          <w:szCs w:val="24"/>
        </w:rPr>
        <w:t>C-reactive protein</w:t>
      </w:r>
    </w:p>
    <w:tbl>
      <w:tblPr>
        <w:tblStyle w:val="TableGrid"/>
        <w:tblW w:w="1395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9"/>
        <w:gridCol w:w="2755"/>
        <w:gridCol w:w="368"/>
        <w:gridCol w:w="3858"/>
        <w:gridCol w:w="368"/>
        <w:gridCol w:w="2750"/>
      </w:tblGrid>
      <w:tr w:rsidR="0054618E">
        <w:trPr>
          <w:trHeight w:val="659"/>
          <w:jc w:val="center"/>
        </w:trPr>
        <w:tc>
          <w:tcPr>
            <w:tcW w:w="38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HsCRP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categories (mg/L)</w:t>
            </w:r>
          </w:p>
        </w:tc>
        <w:tc>
          <w:tcPr>
            <w:tcW w:w="27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3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Cardiovascular mortality</w:t>
            </w:r>
          </w:p>
        </w:tc>
        <w:tc>
          <w:tcPr>
            <w:tcW w:w="3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Cancer mortality</w:t>
            </w:r>
          </w:p>
        </w:tc>
      </w:tr>
      <w:tr w:rsidR="0054618E">
        <w:trPr>
          <w:jc w:val="center"/>
        </w:trPr>
        <w:tc>
          <w:tcPr>
            <w:tcW w:w="3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1.00 (reference)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1.00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(reference)</w:t>
            </w:r>
          </w:p>
        </w:tc>
      </w:tr>
      <w:tr w:rsidR="0054618E">
        <w:trPr>
          <w:jc w:val="center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1-3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12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(0.9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(0.9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-1.4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(0.94-1.6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&gt;3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(1.2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-1.6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1.44 (1.16-1.78)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51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(1.1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01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54618E">
        <w:trPr>
          <w:jc w:val="center"/>
        </w:trPr>
        <w:tc>
          <w:tcPr>
            <w:tcW w:w="38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for trend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 0.001</w:t>
            </w:r>
          </w:p>
        </w:tc>
        <w:tc>
          <w:tcPr>
            <w:tcW w:w="3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54618E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4618E" w:rsidRDefault="00032B93">
            <w:pPr>
              <w:spacing w:after="0"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 0.001</w:t>
            </w:r>
          </w:p>
        </w:tc>
      </w:tr>
    </w:tbl>
    <w:p w:rsidR="0054618E" w:rsidRDefault="00032B93">
      <w:pPr>
        <w:spacing w:line="48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eastAsia="等线" w:hAnsi="Times New Roman" w:cs="Times New Roman"/>
          <w:b/>
          <w:kern w:val="0"/>
          <w:sz w:val="24"/>
          <w:szCs w:val="24"/>
          <w:vertAlign w:val="superscript"/>
        </w:rPr>
        <w:t>†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Adjusted for </w:t>
      </w:r>
      <w:r>
        <w:rPr>
          <w:rFonts w:ascii="Times New Roman" w:eastAsia="等线" w:hAnsi="Times New Roman" w:cs="Times New Roman"/>
          <w:sz w:val="24"/>
          <w:szCs w:val="24"/>
        </w:rPr>
        <w:t>age, sex,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race, educational level, current smoking status, current drinking status, regular exercise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body mass index (BMI), household income, total cholesterol (TC) concentration, and high density lipoprotein-cholesterol (HDL-C) concentration.</w:t>
      </w:r>
    </w:p>
    <w:sectPr w:rsidR="005461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B93" w:rsidRDefault="00032B93">
      <w:pPr>
        <w:spacing w:after="0" w:line="240" w:lineRule="auto"/>
      </w:pPr>
      <w:r>
        <w:separator/>
      </w:r>
    </w:p>
  </w:endnote>
  <w:endnote w:type="continuationSeparator" w:id="0">
    <w:p w:rsidR="00032B93" w:rsidRDefault="0003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97472"/>
      <w:docPartObj>
        <w:docPartGallery w:val="AutoText"/>
      </w:docPartObj>
    </w:sdtPr>
    <w:sdtEndPr/>
    <w:sdtContent>
      <w:p w:rsidR="0054618E" w:rsidRDefault="00032B9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B2E" w:rsidRPr="00C81B2E">
          <w:rPr>
            <w:noProof/>
            <w:lang w:val="zh-CN"/>
          </w:rPr>
          <w:t>6</w:t>
        </w:r>
        <w:r>
          <w:fldChar w:fldCharType="end"/>
        </w:r>
      </w:p>
    </w:sdtContent>
  </w:sdt>
  <w:p w:rsidR="0054618E" w:rsidRDefault="005461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B93" w:rsidRDefault="00032B93">
      <w:pPr>
        <w:spacing w:after="0" w:line="240" w:lineRule="auto"/>
      </w:pPr>
      <w:r>
        <w:separator/>
      </w:r>
    </w:p>
  </w:footnote>
  <w:footnote w:type="continuationSeparator" w:id="0">
    <w:p w:rsidR="00032B93" w:rsidRDefault="00032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EC4EC009-C666-4EDA-960D-3D0FAF7C944A}"/>
    <w:docVar w:name="KY_MEDREF_VERSION" w:val="3"/>
  </w:docVars>
  <w:rsids>
    <w:rsidRoot w:val="00B00EFB"/>
    <w:rsid w:val="00002BD8"/>
    <w:rsid w:val="000035CC"/>
    <w:rsid w:val="00003F6B"/>
    <w:rsid w:val="00024C45"/>
    <w:rsid w:val="00026BCE"/>
    <w:rsid w:val="00032B93"/>
    <w:rsid w:val="00043ABD"/>
    <w:rsid w:val="0006234A"/>
    <w:rsid w:val="000B34CC"/>
    <w:rsid w:val="000C7AB1"/>
    <w:rsid w:val="000D0461"/>
    <w:rsid w:val="000F51CF"/>
    <w:rsid w:val="00111570"/>
    <w:rsid w:val="00126F58"/>
    <w:rsid w:val="00144454"/>
    <w:rsid w:val="0019799C"/>
    <w:rsid w:val="001C0856"/>
    <w:rsid w:val="001C5848"/>
    <w:rsid w:val="0021595E"/>
    <w:rsid w:val="00223A01"/>
    <w:rsid w:val="00241F9D"/>
    <w:rsid w:val="00244467"/>
    <w:rsid w:val="002470B1"/>
    <w:rsid w:val="00256A70"/>
    <w:rsid w:val="00291158"/>
    <w:rsid w:val="00326D13"/>
    <w:rsid w:val="0033128C"/>
    <w:rsid w:val="00337909"/>
    <w:rsid w:val="00377E1A"/>
    <w:rsid w:val="003A2F10"/>
    <w:rsid w:val="003A3428"/>
    <w:rsid w:val="004026E4"/>
    <w:rsid w:val="004034D0"/>
    <w:rsid w:val="0042516E"/>
    <w:rsid w:val="004454F8"/>
    <w:rsid w:val="004456D8"/>
    <w:rsid w:val="0045579B"/>
    <w:rsid w:val="00485DA7"/>
    <w:rsid w:val="004A3B86"/>
    <w:rsid w:val="004F6E21"/>
    <w:rsid w:val="004F6FAC"/>
    <w:rsid w:val="00517DA2"/>
    <w:rsid w:val="0054618E"/>
    <w:rsid w:val="00554AA2"/>
    <w:rsid w:val="0056135B"/>
    <w:rsid w:val="00585D82"/>
    <w:rsid w:val="00586B39"/>
    <w:rsid w:val="00591E74"/>
    <w:rsid w:val="005B3365"/>
    <w:rsid w:val="005B38A6"/>
    <w:rsid w:val="005F2577"/>
    <w:rsid w:val="00600AB9"/>
    <w:rsid w:val="00606D0E"/>
    <w:rsid w:val="00610D43"/>
    <w:rsid w:val="0065545A"/>
    <w:rsid w:val="006641EE"/>
    <w:rsid w:val="0068594D"/>
    <w:rsid w:val="006C3CE0"/>
    <w:rsid w:val="006D52F1"/>
    <w:rsid w:val="00700D25"/>
    <w:rsid w:val="00730B7A"/>
    <w:rsid w:val="007C4045"/>
    <w:rsid w:val="008233CE"/>
    <w:rsid w:val="00876F24"/>
    <w:rsid w:val="00884556"/>
    <w:rsid w:val="008A49BE"/>
    <w:rsid w:val="008B1ACC"/>
    <w:rsid w:val="008C5E5B"/>
    <w:rsid w:val="009110B5"/>
    <w:rsid w:val="00925D60"/>
    <w:rsid w:val="009439CA"/>
    <w:rsid w:val="009670C7"/>
    <w:rsid w:val="0097206C"/>
    <w:rsid w:val="009B025B"/>
    <w:rsid w:val="009B60F8"/>
    <w:rsid w:val="00A5608D"/>
    <w:rsid w:val="00A650F2"/>
    <w:rsid w:val="00A82E6E"/>
    <w:rsid w:val="00AB4A45"/>
    <w:rsid w:val="00AD1972"/>
    <w:rsid w:val="00AE643C"/>
    <w:rsid w:val="00AF65E9"/>
    <w:rsid w:val="00B00EFB"/>
    <w:rsid w:val="00B14A2D"/>
    <w:rsid w:val="00B35403"/>
    <w:rsid w:val="00B6079A"/>
    <w:rsid w:val="00B6612D"/>
    <w:rsid w:val="00B922BF"/>
    <w:rsid w:val="00B977B6"/>
    <w:rsid w:val="00BA2232"/>
    <w:rsid w:val="00BB2A74"/>
    <w:rsid w:val="00BC6BAD"/>
    <w:rsid w:val="00BE483C"/>
    <w:rsid w:val="00C03ED4"/>
    <w:rsid w:val="00C05154"/>
    <w:rsid w:val="00C108E3"/>
    <w:rsid w:val="00C16DE2"/>
    <w:rsid w:val="00C41462"/>
    <w:rsid w:val="00C51509"/>
    <w:rsid w:val="00C60C24"/>
    <w:rsid w:val="00C81B2E"/>
    <w:rsid w:val="00C86B7D"/>
    <w:rsid w:val="00C9771D"/>
    <w:rsid w:val="00D26520"/>
    <w:rsid w:val="00D32C70"/>
    <w:rsid w:val="00D96FD4"/>
    <w:rsid w:val="00DB56C1"/>
    <w:rsid w:val="00DC0145"/>
    <w:rsid w:val="00DE3AE8"/>
    <w:rsid w:val="00E33CCA"/>
    <w:rsid w:val="00E73B7D"/>
    <w:rsid w:val="00EA2A92"/>
    <w:rsid w:val="00EA607A"/>
    <w:rsid w:val="00F33CC5"/>
    <w:rsid w:val="00F80189"/>
    <w:rsid w:val="00F9239B"/>
    <w:rsid w:val="00FB11BC"/>
    <w:rsid w:val="00FF5F23"/>
    <w:rsid w:val="03447EB7"/>
    <w:rsid w:val="11FF635B"/>
    <w:rsid w:val="1E980FC9"/>
    <w:rsid w:val="20132E71"/>
    <w:rsid w:val="213D34E1"/>
    <w:rsid w:val="2ACC6421"/>
    <w:rsid w:val="2DA008EC"/>
    <w:rsid w:val="42FD281E"/>
    <w:rsid w:val="45497B3A"/>
    <w:rsid w:val="48C83DEE"/>
    <w:rsid w:val="4AD62E68"/>
    <w:rsid w:val="4D8D2A87"/>
    <w:rsid w:val="4DD47CDB"/>
    <w:rsid w:val="4E1D0D49"/>
    <w:rsid w:val="69D16622"/>
    <w:rsid w:val="7DB0366F"/>
    <w:rsid w:val="7EE4695D"/>
    <w:rsid w:val="7F7D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  <w:jc w:val="left"/>
    </w:pPr>
    <w:rPr>
      <w:rFonts w:ascii="Tahoma" w:hAnsi="Tahoma" w:cs="Tahoma"/>
      <w:sz w:val="16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21">
    <w:name w:val="fontstyle21"/>
    <w:basedOn w:val="DefaultParagraphFont"/>
    <w:qFormat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kern w:val="2"/>
      <w:sz w:val="16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  <w:jc w:val="left"/>
    </w:pPr>
    <w:rPr>
      <w:rFonts w:ascii="Tahoma" w:hAnsi="Tahoma" w:cs="Tahoma"/>
      <w:sz w:val="16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21">
    <w:name w:val="fontstyle21"/>
    <w:basedOn w:val="DefaultParagraphFont"/>
    <w:qFormat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kern w:val="2"/>
      <w:sz w:val="16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791558663@qq.com</dc:creator>
  <cp:lastModifiedBy>USER</cp:lastModifiedBy>
  <cp:revision>6</cp:revision>
  <dcterms:created xsi:type="dcterms:W3CDTF">2019-08-12T11:39:00Z</dcterms:created>
  <dcterms:modified xsi:type="dcterms:W3CDTF">2019-10-27T05:52:00Z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  <property fmtid="{D5CDD505-2E9C-101B-9397-08002B2CF9AE}" pid="3" name="UseTimer">
    <vt:bool>false</vt:bool>
  </property>
  <property fmtid="{D5CDD505-2E9C-101B-9397-08002B2CF9AE}" pid="4" name="LastTick">
    <vt:r8>43689.277037037</vt:r8>
  </property>
</Properties>
</file>