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CE1" w:rsidRPr="00C22351" w:rsidRDefault="00F52CE1" w:rsidP="00F52CE1">
      <w:pPr>
        <w:spacing w:line="480" w:lineRule="auto"/>
        <w:jc w:val="both"/>
        <w:rPr>
          <w:b/>
          <w:color w:val="FF0000"/>
          <w:sz w:val="28"/>
          <w:szCs w:val="24"/>
        </w:rPr>
      </w:pPr>
      <w:r w:rsidRPr="00C22351">
        <w:rPr>
          <w:b/>
          <w:color w:val="FF0000"/>
          <w:sz w:val="28"/>
          <w:szCs w:val="24"/>
        </w:rPr>
        <w:t>Supplementary Material</w:t>
      </w:r>
    </w:p>
    <w:p w:rsidR="00F52CE1" w:rsidRPr="00C22351" w:rsidRDefault="00F52CE1" w:rsidP="00F52CE1">
      <w:pPr>
        <w:spacing w:line="480" w:lineRule="auto"/>
        <w:jc w:val="both"/>
        <w:rPr>
          <w:b/>
          <w:color w:val="FF0000"/>
          <w:sz w:val="28"/>
          <w:szCs w:val="24"/>
        </w:rPr>
      </w:pPr>
      <w:r w:rsidRPr="00C22351">
        <w:rPr>
          <w:b/>
          <w:noProof/>
          <w:color w:val="FF0000"/>
          <w:sz w:val="28"/>
          <w:szCs w:val="24"/>
        </w:rPr>
        <w:drawing>
          <wp:inline distT="0" distB="0" distL="0" distR="0" wp14:anchorId="57F4AF08" wp14:editId="60EB9CBF">
            <wp:extent cx="6105525" cy="7543800"/>
            <wp:effectExtent l="0" t="0" r="9525" b="0"/>
            <wp:docPr id="7" name="Grafik 7" descr="SuppFig1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uppFig1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EFD"/>
                        </a:clrFrom>
                        <a:clrTo>
                          <a:srgbClr val="FFFE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E1" w:rsidRPr="00C22351" w:rsidRDefault="00F52CE1" w:rsidP="00F52CE1">
      <w:pPr>
        <w:spacing w:after="0" w:line="480" w:lineRule="auto"/>
        <w:jc w:val="both"/>
        <w:rPr>
          <w:rFonts w:eastAsia="Calibri" w:cs="Times New Roman"/>
          <w:b/>
          <w:bCs/>
          <w:color w:val="FF0000"/>
          <w:szCs w:val="24"/>
        </w:rPr>
      </w:pPr>
      <w:bookmarkStart w:id="0" w:name="_Ref26362035"/>
      <w:r w:rsidRPr="00C22351">
        <w:rPr>
          <w:rFonts w:eastAsia="Calibri" w:cs="Times New Roman"/>
          <w:b/>
          <w:bCs/>
          <w:iCs/>
          <w:color w:val="FF0000"/>
          <w:szCs w:val="24"/>
        </w:rPr>
        <w:lastRenderedPageBreak/>
        <w:t xml:space="preserve">Supplementary Figure </w:t>
      </w:r>
      <w:bookmarkEnd w:id="0"/>
      <w:r w:rsidRPr="00C22351">
        <w:rPr>
          <w:rFonts w:eastAsia="Calibri" w:cs="Times New Roman"/>
          <w:b/>
          <w:bCs/>
          <w:iCs/>
          <w:color w:val="FF0000"/>
          <w:szCs w:val="24"/>
        </w:rPr>
        <w:t>1</w:t>
      </w:r>
      <w:r w:rsidRPr="00C22351">
        <w:rPr>
          <w:rFonts w:eastAsia="Calibri" w:cs="Times New Roman"/>
          <w:b/>
          <w:bCs/>
          <w:i/>
          <w:iCs/>
          <w:color w:val="FF0000"/>
          <w:szCs w:val="24"/>
        </w:rPr>
        <w:t xml:space="preserve">. </w:t>
      </w:r>
      <w:r w:rsidRPr="00C22351">
        <w:rPr>
          <w:rFonts w:eastAsia="Calibri" w:cs="Times New Roman"/>
          <w:b/>
          <w:bCs/>
          <w:color w:val="FF0000"/>
          <w:szCs w:val="24"/>
        </w:rPr>
        <w:t>Additional data on cell counts and composition of cell populations of mTerc-/- mice under steady-state conditions.</w:t>
      </w:r>
    </w:p>
    <w:p w:rsidR="00F52CE1" w:rsidRPr="00C22351" w:rsidRDefault="00F52CE1" w:rsidP="00F52CE1">
      <w:pPr>
        <w:spacing w:after="0" w:line="480" w:lineRule="auto"/>
        <w:jc w:val="both"/>
        <w:rPr>
          <w:rFonts w:eastAsia="Calibri" w:cs="Times New Roman"/>
          <w:color w:val="FF0000"/>
          <w:szCs w:val="24"/>
        </w:rPr>
      </w:pPr>
      <w:r w:rsidRPr="00C22351">
        <w:rPr>
          <w:rFonts w:eastAsia="Calibri" w:cs="Times New Roman"/>
          <w:b/>
          <w:bCs/>
          <w:color w:val="FF0000"/>
          <w:szCs w:val="24"/>
        </w:rPr>
        <w:t xml:space="preserve">(A) </w:t>
      </w:r>
      <w:r w:rsidRPr="00C22351">
        <w:rPr>
          <w:rFonts w:eastAsia="Calibri" w:cs="Times New Roman"/>
          <w:color w:val="FF0000"/>
          <w:szCs w:val="24"/>
        </w:rPr>
        <w:t>Total cell counts from organs obtained by counting of single cell suspensions using a hemocytometer (n = 3 for Terc+/+ and Terc-/- G2, n = 2 for Terc-/- G1).</w:t>
      </w:r>
    </w:p>
    <w:p w:rsidR="00F52CE1" w:rsidRPr="00C22351" w:rsidRDefault="00F52CE1" w:rsidP="00F52CE1">
      <w:pPr>
        <w:spacing w:after="0" w:line="480" w:lineRule="auto"/>
        <w:jc w:val="both"/>
        <w:rPr>
          <w:rFonts w:eastAsia="Times New Roman" w:cs="Times New Roman"/>
          <w:color w:val="FF0000"/>
          <w:szCs w:val="24"/>
          <w:lang w:eastAsia="de-DE"/>
        </w:rPr>
      </w:pPr>
      <w:r w:rsidRPr="00C22351">
        <w:rPr>
          <w:rFonts w:eastAsia="Times New Roman" w:cs="Times New Roman"/>
          <w:b/>
          <w:bCs/>
          <w:color w:val="FF0000"/>
          <w:szCs w:val="24"/>
          <w:lang w:eastAsia="de-DE"/>
        </w:rPr>
        <w:t xml:space="preserve">(B) </w:t>
      </w:r>
      <w:r w:rsidRPr="00C22351">
        <w:rPr>
          <w:rFonts w:eastAsia="Times New Roman" w:cs="Times New Roman"/>
          <w:color w:val="FF0000"/>
          <w:szCs w:val="24"/>
          <w:lang w:eastAsia="de-DE"/>
        </w:rPr>
        <w:t xml:space="preserve">Flow cytometric analysis of B cells (B220+, n = 3 from each generation) and NK cells (CD49d+, </w:t>
      </w:r>
      <w:r w:rsidRPr="00C22351">
        <w:rPr>
          <w:rFonts w:eastAsia="Calibri" w:cs="Times New Roman"/>
          <w:color w:val="FF0000"/>
          <w:szCs w:val="24"/>
        </w:rPr>
        <w:t>n = 3 for Terc+/+ and Terc-/- G2, n = 2 for Terc-/- G1)</w:t>
      </w:r>
      <w:r w:rsidRPr="00C22351">
        <w:rPr>
          <w:rFonts w:eastAsia="Times New Roman" w:cs="Times New Roman"/>
          <w:color w:val="FF0000"/>
          <w:szCs w:val="24"/>
          <w:lang w:eastAsia="de-DE"/>
        </w:rPr>
        <w:t xml:space="preserve"> under steady-state conditions.</w:t>
      </w:r>
    </w:p>
    <w:p w:rsidR="00F52CE1" w:rsidRPr="00C22351" w:rsidRDefault="00F52CE1" w:rsidP="00F52CE1">
      <w:pPr>
        <w:spacing w:after="0" w:line="480" w:lineRule="auto"/>
        <w:jc w:val="both"/>
        <w:rPr>
          <w:rFonts w:eastAsia="Calibri" w:cs="Times New Roman"/>
          <w:b/>
          <w:bCs/>
          <w:color w:val="FF0000"/>
          <w:szCs w:val="24"/>
        </w:rPr>
      </w:pPr>
      <w:r w:rsidRPr="00C22351">
        <w:rPr>
          <w:rFonts w:eastAsia="Calibri" w:cs="Times New Roman"/>
          <w:b/>
          <w:bCs/>
          <w:color w:val="FF0000"/>
          <w:szCs w:val="24"/>
        </w:rPr>
        <w:t xml:space="preserve">(C) </w:t>
      </w:r>
      <w:r w:rsidRPr="00C22351">
        <w:rPr>
          <w:rFonts w:eastAsia="Times New Roman" w:cs="Times New Roman"/>
          <w:color w:val="FF0000"/>
          <w:szCs w:val="24"/>
          <w:lang w:eastAsia="de-DE"/>
        </w:rPr>
        <w:t xml:space="preserve">Analysis of markers of T helper cell subsets among CD4+ T cells from mTerc-/- mice under steady-state conditions (n = 3 from each generation). </w:t>
      </w:r>
    </w:p>
    <w:p w:rsidR="00F52CE1" w:rsidRPr="00C22351" w:rsidRDefault="00F52CE1" w:rsidP="00F52CE1">
      <w:pPr>
        <w:spacing w:after="0" w:line="480" w:lineRule="auto"/>
        <w:jc w:val="both"/>
        <w:rPr>
          <w:rFonts w:eastAsia="Times New Roman" w:cs="Times New Roman"/>
          <w:color w:val="FF0000"/>
          <w:szCs w:val="24"/>
          <w:lang w:eastAsia="de-DE"/>
        </w:rPr>
      </w:pPr>
      <w:r w:rsidRPr="00C22351">
        <w:rPr>
          <w:rFonts w:eastAsia="Times New Roman" w:cs="Times New Roman"/>
          <w:color w:val="FF0000"/>
          <w:szCs w:val="24"/>
          <w:lang w:eastAsia="de-DE"/>
        </w:rPr>
        <w:t>Graphs show the mean ± SD, * adjusted p ≤ 0.05, ** adjusted p ≤ 0.01, *** adjusted p ≤ 0.001.</w:t>
      </w:r>
    </w:p>
    <w:p w:rsidR="00F52CE1" w:rsidRPr="00C22351" w:rsidRDefault="00F52CE1" w:rsidP="00F52CE1">
      <w:pPr>
        <w:spacing w:after="0" w:line="480" w:lineRule="auto"/>
        <w:jc w:val="both"/>
        <w:rPr>
          <w:color w:val="FF0000"/>
        </w:rPr>
      </w:pPr>
    </w:p>
    <w:p w:rsidR="00F52CE1" w:rsidRPr="00C22351" w:rsidRDefault="00F52CE1" w:rsidP="00F52CE1">
      <w:pPr>
        <w:spacing w:after="0" w:line="480" w:lineRule="auto"/>
        <w:jc w:val="both"/>
        <w:rPr>
          <w:rFonts w:eastAsia="Times New Roman" w:cs="Times New Roman"/>
          <w:color w:val="FF0000"/>
          <w:szCs w:val="24"/>
          <w:lang w:eastAsia="de-DE"/>
        </w:rPr>
      </w:pPr>
      <w:r w:rsidRPr="00C22351">
        <w:rPr>
          <w:rFonts w:eastAsia="Times New Roman" w:cs="Times New Roman"/>
          <w:noProof/>
          <w:color w:val="FF0000"/>
          <w:szCs w:val="24"/>
        </w:rPr>
        <w:lastRenderedPageBreak/>
        <w:drawing>
          <wp:inline distT="0" distB="0" distL="0" distR="0" wp14:anchorId="49E9393B" wp14:editId="13457137">
            <wp:extent cx="5918200" cy="6375400"/>
            <wp:effectExtent l="0" t="0" r="6350" b="6350"/>
            <wp:docPr id="1" name="Grafik 1" descr="SuppFig2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uppFig2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EFD"/>
                        </a:clrFrom>
                        <a:clrTo>
                          <a:srgbClr val="FFFE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637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E1" w:rsidRPr="00C22351" w:rsidRDefault="00F52CE1" w:rsidP="00F52CE1">
      <w:pPr>
        <w:spacing w:after="0" w:line="480" w:lineRule="auto"/>
        <w:jc w:val="both"/>
        <w:rPr>
          <w:rFonts w:eastAsia="Calibri" w:cs="Times New Roman"/>
          <w:b/>
          <w:bCs/>
          <w:color w:val="FF0000"/>
          <w:szCs w:val="24"/>
        </w:rPr>
      </w:pPr>
      <w:r w:rsidRPr="00C22351">
        <w:rPr>
          <w:rFonts w:eastAsia="Calibri" w:cs="Times New Roman"/>
          <w:b/>
          <w:bCs/>
          <w:color w:val="FF0000"/>
          <w:szCs w:val="24"/>
        </w:rPr>
        <w:t>Supplementary Figure 2. Additional data on CD4+ T cells from mTerc-/- mice under steady-state conditions.</w:t>
      </w:r>
    </w:p>
    <w:p w:rsidR="00F52CE1" w:rsidRPr="00C22351" w:rsidRDefault="00F52CE1" w:rsidP="00F52CE1">
      <w:pPr>
        <w:spacing w:after="0" w:line="480" w:lineRule="auto"/>
        <w:jc w:val="both"/>
        <w:rPr>
          <w:rFonts w:eastAsia="Times New Roman" w:cs="Times New Roman"/>
          <w:b/>
          <w:bCs/>
          <w:color w:val="FF0000"/>
          <w:szCs w:val="24"/>
          <w:lang w:eastAsia="de-DE"/>
        </w:rPr>
      </w:pPr>
      <w:r w:rsidRPr="00C22351">
        <w:rPr>
          <w:rFonts w:eastAsia="Times New Roman" w:cs="Times New Roman"/>
          <w:b/>
          <w:bCs/>
          <w:color w:val="FF0000"/>
          <w:szCs w:val="24"/>
          <w:lang w:eastAsia="de-DE"/>
        </w:rPr>
        <w:t xml:space="preserve">(A) </w:t>
      </w:r>
      <w:r w:rsidRPr="00C22351">
        <w:rPr>
          <w:rFonts w:eastAsia="Times New Roman" w:cs="Times New Roman"/>
          <w:bCs/>
          <w:color w:val="FF0000"/>
          <w:szCs w:val="24"/>
          <w:lang w:eastAsia="de-DE"/>
        </w:rPr>
        <w:t>A</w:t>
      </w:r>
      <w:r w:rsidRPr="00C22351">
        <w:rPr>
          <w:rFonts w:eastAsia="Times New Roman" w:cs="Times New Roman"/>
          <w:color w:val="FF0000"/>
          <w:szCs w:val="24"/>
          <w:lang w:eastAsia="de-DE"/>
        </w:rPr>
        <w:t>dditional data on memory populations from lymphoid organs under steady-state conditions. Cells were defined as naïve (CD44- CD62L+), central memory (CD44+ CD62L+) and effector/effector memory (CD44+ CD62L-).</w:t>
      </w:r>
    </w:p>
    <w:p w:rsidR="00F52CE1" w:rsidRPr="00C22351" w:rsidRDefault="00F52CE1" w:rsidP="00F52CE1">
      <w:pPr>
        <w:spacing w:after="0" w:line="480" w:lineRule="auto"/>
        <w:jc w:val="both"/>
        <w:rPr>
          <w:rFonts w:eastAsia="Calibri" w:cs="Times New Roman"/>
          <w:color w:val="FF0000"/>
          <w:szCs w:val="24"/>
        </w:rPr>
      </w:pPr>
      <w:r w:rsidRPr="00C22351">
        <w:rPr>
          <w:rFonts w:eastAsia="Times New Roman" w:cs="Times New Roman"/>
          <w:b/>
          <w:bCs/>
          <w:color w:val="FF0000"/>
          <w:szCs w:val="24"/>
          <w:lang w:eastAsia="de-DE"/>
        </w:rPr>
        <w:lastRenderedPageBreak/>
        <w:t xml:space="preserve">(B) </w:t>
      </w:r>
      <w:r w:rsidRPr="00C22351">
        <w:rPr>
          <w:rFonts w:eastAsia="Calibri" w:cs="Times New Roman"/>
          <w:color w:val="FF0000"/>
          <w:szCs w:val="24"/>
        </w:rPr>
        <w:t>Proliferation of CD4+ T cells under steady-state conditions determined by Ki-67 expression in flow cytometry.</w:t>
      </w:r>
    </w:p>
    <w:p w:rsidR="00F52CE1" w:rsidRPr="00C22351" w:rsidRDefault="00F52CE1" w:rsidP="00F52CE1">
      <w:pPr>
        <w:spacing w:after="0" w:line="480" w:lineRule="auto"/>
        <w:jc w:val="both"/>
        <w:rPr>
          <w:rFonts w:eastAsia="Times New Roman" w:cs="Times New Roman"/>
          <w:color w:val="FF0000"/>
          <w:szCs w:val="24"/>
          <w:lang w:eastAsia="de-DE"/>
        </w:rPr>
      </w:pPr>
      <w:r w:rsidRPr="00C22351">
        <w:rPr>
          <w:rFonts w:eastAsia="Times New Roman" w:cs="Times New Roman"/>
          <w:b/>
          <w:color w:val="FF0000"/>
          <w:szCs w:val="24"/>
          <w:lang w:eastAsia="de-DE"/>
        </w:rPr>
        <w:t>(C)</w:t>
      </w:r>
      <w:r w:rsidRPr="00C22351">
        <w:rPr>
          <w:rFonts w:eastAsia="Times New Roman" w:cs="Times New Roman"/>
          <w:color w:val="FF0000"/>
          <w:szCs w:val="24"/>
          <w:lang w:eastAsia="de-DE"/>
        </w:rPr>
        <w:t xml:space="preserve"> Cell death of CD4+ T cells under steady-state conditions as determined by flow cytometry. Cells were defined as live (Annexin V- PI-), early apoptotic (Annexin V+ PI-), late apoptotic (Annexin V+ PI+) and dead (Annexin V- PI+).</w:t>
      </w:r>
    </w:p>
    <w:p w:rsidR="00F52CE1" w:rsidRPr="00C22351" w:rsidRDefault="00F52CE1" w:rsidP="00F52CE1">
      <w:pPr>
        <w:spacing w:after="0" w:line="480" w:lineRule="auto"/>
        <w:jc w:val="both"/>
        <w:rPr>
          <w:rFonts w:eastAsia="Times New Roman" w:cs="Times New Roman"/>
          <w:color w:val="FF0000"/>
          <w:szCs w:val="24"/>
          <w:lang w:eastAsia="de-DE"/>
        </w:rPr>
      </w:pPr>
      <w:r w:rsidRPr="00C22351">
        <w:rPr>
          <w:rFonts w:eastAsia="Times New Roman" w:cs="Times New Roman"/>
          <w:color w:val="FF0000"/>
          <w:szCs w:val="24"/>
          <w:lang w:eastAsia="de-DE"/>
        </w:rPr>
        <w:t>The experiment was performed one time with n = 3 mice from each generation. Graphs show the mean ± SD, * adjusted p ≤ 0.05, ** adjusted p ≤ 0.01, *** adjusted p ≤ 0.001.</w:t>
      </w:r>
    </w:p>
    <w:p w:rsidR="00F52CE1" w:rsidRPr="00C22351" w:rsidRDefault="00F52CE1" w:rsidP="00F52CE1">
      <w:pPr>
        <w:rPr>
          <w:rFonts w:cs="Times New Roman"/>
          <w:b/>
          <w:bCs/>
          <w:color w:val="FF0000"/>
          <w:szCs w:val="24"/>
        </w:rPr>
      </w:pPr>
      <w:r w:rsidRPr="00C22351">
        <w:rPr>
          <w:rFonts w:cs="Times New Roman"/>
          <w:b/>
          <w:bCs/>
          <w:color w:val="FF0000"/>
          <w:szCs w:val="24"/>
        </w:rPr>
        <w:br w:type="page"/>
      </w:r>
    </w:p>
    <w:p w:rsidR="00F52CE1" w:rsidRPr="00C22351" w:rsidRDefault="00F52CE1" w:rsidP="00F52CE1">
      <w:pPr>
        <w:pStyle w:val="NoSpacing"/>
        <w:rPr>
          <w:color w:val="FF0000"/>
        </w:rPr>
      </w:pPr>
    </w:p>
    <w:p w:rsidR="00F52CE1" w:rsidRPr="00C22351" w:rsidRDefault="00F52CE1" w:rsidP="00F52CE1">
      <w:pPr>
        <w:pStyle w:val="NoSpacing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6A150A38" wp14:editId="4435EBDF">
            <wp:extent cx="6177915" cy="1725295"/>
            <wp:effectExtent l="0" t="0" r="0" b="8255"/>
            <wp:docPr id="3" name="Grafik 3" descr="C:\Users\thomaoa\AppData\Local\Microsoft\Windows\INetCache\Content.Word\SuppFig3_V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homaoa\AppData\Local\Microsoft\Windows\INetCache\Content.Word\SuppFig3_V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EFD"/>
                        </a:clrFrom>
                        <a:clrTo>
                          <a:srgbClr val="FFFE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E1" w:rsidRPr="00C22351" w:rsidRDefault="00F52CE1" w:rsidP="00F52CE1">
      <w:pPr>
        <w:spacing w:after="0" w:line="480" w:lineRule="auto"/>
        <w:jc w:val="both"/>
        <w:rPr>
          <w:rFonts w:eastAsia="Calibri" w:cs="Times New Roman"/>
          <w:b/>
          <w:bCs/>
          <w:iCs/>
          <w:color w:val="FF0000"/>
          <w:szCs w:val="24"/>
        </w:rPr>
      </w:pPr>
      <w:r w:rsidRPr="00C22351">
        <w:rPr>
          <w:rFonts w:eastAsia="Calibri" w:cs="Times New Roman"/>
          <w:b/>
          <w:bCs/>
          <w:iCs/>
          <w:color w:val="FF0000"/>
          <w:szCs w:val="24"/>
        </w:rPr>
        <w:t xml:space="preserve">Supplementary Figure 3. Further characterization of IFNγ secretion and proliferation of mTerc-/- CD4+ T cells during </w:t>
      </w:r>
      <w:r w:rsidRPr="00C22351">
        <w:rPr>
          <w:rFonts w:eastAsia="Calibri" w:cs="Times New Roman"/>
          <w:b/>
          <w:bCs/>
          <w:i/>
          <w:color w:val="FF0000"/>
          <w:szCs w:val="24"/>
        </w:rPr>
        <w:t>in vitro</w:t>
      </w:r>
      <w:r w:rsidRPr="00C22351">
        <w:rPr>
          <w:rFonts w:eastAsia="Calibri" w:cs="Times New Roman"/>
          <w:b/>
          <w:bCs/>
          <w:iCs/>
          <w:color w:val="FF0000"/>
          <w:szCs w:val="24"/>
        </w:rPr>
        <w:t xml:space="preserve"> T cell polarization.</w:t>
      </w:r>
    </w:p>
    <w:p w:rsidR="00F52CE1" w:rsidRPr="00C22351" w:rsidRDefault="00F52CE1" w:rsidP="00F52CE1">
      <w:pPr>
        <w:spacing w:after="0" w:line="480" w:lineRule="auto"/>
        <w:jc w:val="both"/>
        <w:rPr>
          <w:rFonts w:eastAsia="Calibri" w:cs="Times New Roman"/>
          <w:iCs/>
          <w:color w:val="FF0000"/>
          <w:szCs w:val="24"/>
        </w:rPr>
      </w:pPr>
      <w:r w:rsidRPr="00C22351">
        <w:rPr>
          <w:rFonts w:eastAsia="Calibri" w:cs="Times New Roman"/>
          <w:b/>
          <w:bCs/>
          <w:iCs/>
          <w:color w:val="FF0000"/>
          <w:szCs w:val="24"/>
        </w:rPr>
        <w:t>(A)</w:t>
      </w:r>
      <w:r w:rsidRPr="00C22351">
        <w:rPr>
          <w:rFonts w:eastAsia="Calibri" w:cs="Times New Roman"/>
          <w:iCs/>
          <w:color w:val="FF0000"/>
          <w:szCs w:val="24"/>
        </w:rPr>
        <w:t xml:space="preserve"> Daily quantification of IFNγ in the supernatant of the </w:t>
      </w:r>
      <w:r w:rsidRPr="00C22351">
        <w:rPr>
          <w:rFonts w:eastAsia="Calibri" w:cs="Times New Roman"/>
          <w:i/>
          <w:color w:val="FF0000"/>
          <w:szCs w:val="24"/>
        </w:rPr>
        <w:t>in vitro</w:t>
      </w:r>
      <w:r w:rsidRPr="00C22351">
        <w:rPr>
          <w:rFonts w:eastAsia="Calibri" w:cs="Times New Roman"/>
          <w:iCs/>
          <w:color w:val="FF0000"/>
          <w:szCs w:val="24"/>
        </w:rPr>
        <w:t xml:space="preserve"> culture by ELISA. </w:t>
      </w:r>
    </w:p>
    <w:p w:rsidR="00F52CE1" w:rsidRPr="00C22351" w:rsidRDefault="00F52CE1" w:rsidP="00F52CE1">
      <w:pPr>
        <w:spacing w:after="0" w:line="480" w:lineRule="auto"/>
        <w:jc w:val="both"/>
        <w:rPr>
          <w:rFonts w:eastAsia="Calibri" w:cs="Times New Roman"/>
          <w:iCs/>
          <w:color w:val="FF0000"/>
          <w:szCs w:val="24"/>
        </w:rPr>
      </w:pPr>
      <w:r w:rsidRPr="00C22351">
        <w:rPr>
          <w:rFonts w:eastAsia="Calibri" w:cs="Times New Roman"/>
          <w:b/>
          <w:bCs/>
          <w:iCs/>
          <w:color w:val="FF0000"/>
          <w:szCs w:val="24"/>
        </w:rPr>
        <w:t xml:space="preserve">(B) and (C) </w:t>
      </w:r>
      <w:r w:rsidRPr="00C22351">
        <w:rPr>
          <w:rFonts w:eastAsia="Calibri" w:cs="Times New Roman"/>
          <w:iCs/>
          <w:color w:val="FF0000"/>
          <w:szCs w:val="24"/>
        </w:rPr>
        <w:t>Development of cell numbers during Th1 T cell polarization as determined by harvesting the cells and counting in a hemocytometer or quantification of total measured events in the lymphocyte gate in flow cytometry, respectively.</w:t>
      </w:r>
    </w:p>
    <w:p w:rsidR="00F52CE1" w:rsidRPr="00C22351" w:rsidRDefault="00F52CE1" w:rsidP="00F52CE1">
      <w:pPr>
        <w:spacing w:after="0" w:line="480" w:lineRule="auto"/>
        <w:jc w:val="both"/>
        <w:rPr>
          <w:rFonts w:eastAsia="Times New Roman" w:cs="Times New Roman"/>
          <w:color w:val="FF0000"/>
          <w:szCs w:val="24"/>
          <w:lang w:eastAsia="de-DE"/>
        </w:rPr>
      </w:pPr>
      <w:r w:rsidRPr="00C22351">
        <w:rPr>
          <w:rFonts w:eastAsia="Calibri" w:cs="Times New Roman"/>
          <w:iCs/>
          <w:color w:val="FF0000"/>
          <w:szCs w:val="24"/>
        </w:rPr>
        <w:t xml:space="preserve">The graphs show pooled data from n = 2 experiments, with a total number of n ≥ 6 technical replicates. </w:t>
      </w:r>
      <w:r w:rsidRPr="00C22351">
        <w:rPr>
          <w:rFonts w:eastAsia="Times New Roman" w:cs="Times New Roman"/>
          <w:color w:val="FF0000"/>
          <w:szCs w:val="24"/>
          <w:lang w:eastAsia="de-DE"/>
        </w:rPr>
        <w:t>Graphs show the mean ± SD, * adjusted p ≤ 0.05, ** adjusted p ≤ 0.01.</w:t>
      </w:r>
    </w:p>
    <w:p w:rsidR="00F52CE1" w:rsidRPr="00C22351" w:rsidRDefault="00F52CE1" w:rsidP="00F52CE1">
      <w:pPr>
        <w:spacing w:after="0" w:line="480" w:lineRule="auto"/>
        <w:jc w:val="both"/>
        <w:rPr>
          <w:rFonts w:eastAsia="Calibri" w:cs="Times New Roman"/>
          <w:iCs/>
          <w:color w:val="FF0000"/>
          <w:szCs w:val="24"/>
        </w:rPr>
      </w:pPr>
    </w:p>
    <w:p w:rsidR="00F52CE1" w:rsidRPr="00C22351" w:rsidRDefault="00F52CE1" w:rsidP="00F52CE1">
      <w:pPr>
        <w:spacing w:after="0" w:line="480" w:lineRule="auto"/>
        <w:jc w:val="both"/>
        <w:rPr>
          <w:rFonts w:eastAsia="Calibri" w:cs="Times New Roman"/>
          <w:iCs/>
          <w:color w:val="FF0000"/>
          <w:szCs w:val="24"/>
        </w:rPr>
      </w:pPr>
    </w:p>
    <w:p w:rsidR="00F52CE1" w:rsidRPr="00C22351" w:rsidRDefault="00F52CE1" w:rsidP="00F52CE1">
      <w:pPr>
        <w:spacing w:after="0" w:line="480" w:lineRule="auto"/>
        <w:jc w:val="both"/>
        <w:rPr>
          <w:rFonts w:eastAsia="Times New Roman" w:cs="Times New Roman"/>
          <w:color w:val="FF0000"/>
          <w:szCs w:val="24"/>
          <w:lang w:eastAsia="de-DE"/>
        </w:rPr>
      </w:pPr>
    </w:p>
    <w:p w:rsidR="00F52CE1" w:rsidRPr="00C22351" w:rsidRDefault="00F52CE1" w:rsidP="00F52CE1">
      <w:pPr>
        <w:pStyle w:val="NoSpacing"/>
        <w:rPr>
          <w:color w:val="FF0000"/>
        </w:rPr>
      </w:pPr>
    </w:p>
    <w:p w:rsidR="00F52CE1" w:rsidRDefault="00F52CE1" w:rsidP="00F52CE1">
      <w:pPr>
        <w:pStyle w:val="NoSpacing"/>
        <w:keepNext/>
      </w:pPr>
      <w:r>
        <w:rPr>
          <w:noProof/>
        </w:rPr>
        <w:lastRenderedPageBreak/>
        <w:drawing>
          <wp:inline distT="0" distB="0" distL="0" distR="0">
            <wp:extent cx="6193790" cy="4317365"/>
            <wp:effectExtent l="0" t="0" r="0" b="6985"/>
            <wp:docPr id="2" name="Picture 2" descr="Supp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Fig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E1" w:rsidRDefault="00F52CE1" w:rsidP="00F52CE1">
      <w:pPr>
        <w:pStyle w:val="Caption"/>
        <w:spacing w:line="480" w:lineRule="auto"/>
      </w:pPr>
      <w:r>
        <w:t>Supplementary Figure</w:t>
      </w:r>
      <w:r w:rsidRPr="00C22351">
        <w:rPr>
          <w:color w:val="FF0000"/>
        </w:rPr>
        <w:t xml:space="preserve"> 4</w:t>
      </w:r>
      <w:r>
        <w:t xml:space="preserve">. </w:t>
      </w:r>
      <w:r w:rsidRPr="00985BB2">
        <w:t>Gating strategy for molecular markers assessed in flow cytometry.</w:t>
      </w:r>
    </w:p>
    <w:p w:rsidR="00F52CE1" w:rsidRDefault="00F52CE1" w:rsidP="00F52CE1">
      <w:pPr>
        <w:pStyle w:val="NormalWeb"/>
        <w:spacing w:line="480" w:lineRule="auto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Representative gating strategy for flow cytometric analysis of memory populations, costimulatory molecules, proliferation and apoptosis after </w:t>
      </w:r>
      <w:r>
        <w:rPr>
          <w:rFonts w:ascii="TimesNewRomanPS" w:hAnsi="TimesNewRomanPS"/>
          <w:i/>
          <w:iCs/>
        </w:rPr>
        <w:t xml:space="preserve">in vitro </w:t>
      </w:r>
      <w:r>
        <w:rPr>
          <w:rFonts w:ascii="TimesNewRomanPSMT" w:hAnsi="TimesNewRomanPSMT"/>
        </w:rPr>
        <w:t xml:space="preserve">polarization. </w:t>
      </w:r>
    </w:p>
    <w:p w:rsidR="00F52CE1" w:rsidRDefault="00F52CE1" w:rsidP="00F52CE1">
      <w:pPr>
        <w:pStyle w:val="NormalWeb"/>
        <w:spacing w:line="480" w:lineRule="auto"/>
        <w:rPr>
          <w:rFonts w:ascii="TimesNewRomanPSMT" w:hAnsi="TimesNewRomanPSMT"/>
        </w:rPr>
      </w:pPr>
    </w:p>
    <w:p w:rsidR="005846C0" w:rsidRDefault="005846C0">
      <w:bookmarkStart w:id="1" w:name="_GoBack"/>
      <w:bookmarkEnd w:id="1"/>
    </w:p>
    <w:sectPr w:rsidR="00584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CE1"/>
    <w:rsid w:val="005846C0"/>
    <w:rsid w:val="00A02CE6"/>
    <w:rsid w:val="00F5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Spacing"/>
    <w:uiPriority w:val="35"/>
    <w:unhideWhenUsed/>
    <w:qFormat/>
    <w:rsid w:val="00F52CE1"/>
    <w:pPr>
      <w:keepNext/>
      <w:spacing w:before="120" w:after="24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99"/>
    <w:unhideWhenUsed/>
    <w:qFormat/>
    <w:rsid w:val="00F52CE1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Spacing"/>
    <w:uiPriority w:val="35"/>
    <w:unhideWhenUsed/>
    <w:qFormat/>
    <w:rsid w:val="00F52CE1"/>
    <w:pPr>
      <w:keepNext/>
      <w:spacing w:before="120" w:after="24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99"/>
    <w:unhideWhenUsed/>
    <w:qFormat/>
    <w:rsid w:val="00F52CE1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351</Words>
  <Characters>2156</Characters>
  <Application>Microsoft Office Word</Application>
  <DocSecurity>0</DocSecurity>
  <Lines>36</Lines>
  <Paragraphs>15</Paragraphs>
  <ScaleCrop>false</ScaleCrop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2022-03-17T02:17:00Z</dcterms:created>
  <dcterms:modified xsi:type="dcterms:W3CDTF">2022-03-17T02:17:00Z</dcterms:modified>
</cp:coreProperties>
</file>