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36FE" w14:textId="66A136DE" w:rsidR="00E71856" w:rsidRDefault="00350EC5">
      <w:r>
        <w:rPr>
          <w:rFonts w:ascii="Arial" w:hAnsi="Arial" w:cs="Arial"/>
          <w:b/>
          <w:bCs/>
          <w:noProof/>
          <w:color w:val="000000"/>
          <w:shd w:val="clear" w:color="auto" w:fill="FFFFFF"/>
        </w:rPr>
        <w:drawing>
          <wp:inline distT="0" distB="0" distL="0" distR="0" wp14:anchorId="73A0D4A9" wp14:editId="2932B2DD">
            <wp:extent cx="5943600" cy="6770370"/>
            <wp:effectExtent l="0" t="0" r="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6"/>
                    <a:stretch/>
                  </pic:blipFill>
                  <pic:spPr bwMode="auto">
                    <a:xfrm>
                      <a:off x="0" y="0"/>
                      <a:ext cx="5943600" cy="677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520A4" w14:textId="5F847FC2" w:rsidR="00350EC5" w:rsidRDefault="00FC6530" w:rsidP="00350EC5">
      <w:p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Additional Figure </w:t>
      </w:r>
      <w:r w:rsidR="00350EC5">
        <w:rPr>
          <w:rFonts w:ascii="Arial" w:hAnsi="Arial" w:cs="Arial"/>
          <w:b/>
          <w:bCs/>
          <w:color w:val="000000"/>
          <w:shd w:val="clear" w:color="auto" w:fill="FFFFFF"/>
        </w:rPr>
        <w:t>1. Terminal adipocyte hypertrophy and plasma insulin.</w:t>
      </w:r>
    </w:p>
    <w:p w14:paraId="51C2CAA6" w14:textId="77777777" w:rsidR="00350EC5" w:rsidRDefault="00350EC5"/>
    <w:sectPr w:rsidR="00350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856"/>
    <w:rsid w:val="00350EC5"/>
    <w:rsid w:val="00E71856"/>
    <w:rsid w:val="00FC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B2662"/>
  <w15:chartTrackingRefBased/>
  <w15:docId w15:val="{694F7DA5-92F2-4DBC-BE14-94474E85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Elzinga, Sarah</dc:creator>
  <cp:keywords/>
  <dc:description/>
  <cp:lastModifiedBy>Elzinga, Sarah</cp:lastModifiedBy>
  <cp:revision>3</cp:revision>
  <dcterms:created xsi:type="dcterms:W3CDTF">2022-08-26T14:43:00Z</dcterms:created>
  <dcterms:modified xsi:type="dcterms:W3CDTF">2022-08-26T14:44:00Z</dcterms:modified>
</cp:coreProperties>
</file>