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C83" w:rsidRPr="00623FB2" w:rsidRDefault="00A94C83" w:rsidP="00A94C83">
      <w:pPr>
        <w:spacing w:line="480" w:lineRule="auto"/>
        <w:rPr>
          <w:b/>
          <w:bCs/>
          <w:lang w:val="en-US"/>
        </w:rPr>
      </w:pPr>
      <w:r w:rsidRPr="00623FB2">
        <w:rPr>
          <w:b/>
          <w:bCs/>
          <w:lang w:val="en-US"/>
        </w:rPr>
        <w:t>ADDITIONAL INFORMATION 8</w:t>
      </w:r>
    </w:p>
    <w:p w:rsidR="00A94C83" w:rsidRPr="00623FB2" w:rsidRDefault="00A94C83" w:rsidP="00A94C83">
      <w:pPr>
        <w:spacing w:line="480" w:lineRule="auto"/>
        <w:rPr>
          <w:b/>
          <w:bCs/>
          <w:lang w:val="en-US"/>
        </w:rPr>
      </w:pPr>
      <w:r w:rsidRPr="00623FB2">
        <w:rPr>
          <w:b/>
          <w:bCs/>
          <w:lang w:val="en-US"/>
        </w:rPr>
        <w:t>DETAILED METHOLOGY</w:t>
      </w:r>
    </w:p>
    <w:p w:rsidR="00A94C83" w:rsidRPr="00623FB2" w:rsidRDefault="00A94C83" w:rsidP="00A94C83">
      <w:pPr>
        <w:spacing w:line="480" w:lineRule="auto"/>
        <w:rPr>
          <w:lang w:val="en-US"/>
        </w:rPr>
      </w:pPr>
      <w:r w:rsidRPr="00623FB2">
        <w:rPr>
          <w:rStyle w:val="Strong"/>
          <w:lang w:val="en-US"/>
        </w:rPr>
        <w:t>Immune subsets</w:t>
      </w:r>
    </w:p>
    <w:p w:rsidR="00A94C83" w:rsidRPr="00623FB2" w:rsidRDefault="00A94C83" w:rsidP="00A94C83">
      <w:pPr>
        <w:spacing w:line="480" w:lineRule="auto"/>
        <w:rPr>
          <w:lang w:val="en-US"/>
        </w:rPr>
      </w:pPr>
      <w:r w:rsidRPr="00623FB2">
        <w:rPr>
          <w:lang w:val="en-US"/>
        </w:rPr>
        <w:t>Absolute numbers of total lymphocytes, as well as CD3, CD4, and CD8 T-cells, B-cells, and NK-cells counts, were routinely determined in fresh blood samples collected at T1 at the Immunology Service of our hospital, following standard procedures. Identification of total CD3+, CD3+CD4+, CD3+CD8+, CD3+CD4+/CD3+CD8+ lymphocyte counts were performed on peripheral whole blood samples stained with AQUIOS Tetra-1 Panel Monoclonal Antibody Reagents, a four-color monoclonal antibody cocktail consisting of CD45-FITC/CD4-RD1/CD8-ECD/CD3-PC5. In a separate tube, whole b</w:t>
      </w:r>
      <w:bookmarkStart w:id="0" w:name="_GoBack"/>
      <w:bookmarkEnd w:id="0"/>
      <w:r w:rsidRPr="00623FB2">
        <w:rPr>
          <w:lang w:val="en-US"/>
        </w:rPr>
        <w:t>lood samples were stained with AQUIOS Tetra-2+ Panel Monoclonal Antibody Reagents, a four-color monoclonal antibody cocktail consisting of CD45-FITC/(CD56 + CD16)-RD1/CD19-ECD/CD3-PC5, and used for the identification of total CD3-CD19+, CD3-CD56+ and/or CD16+ lymphocytes. Flow cytometric analyses was performed on a Navios EX flow cytometer (Beckman-Coulter, California) and the different cell populations were analyzed using the Navios EX Software v2.0. Reference values for all immune cellular subsets analyzed are provided in the table below.</w:t>
      </w:r>
    </w:p>
    <w:tbl>
      <w:tblPr>
        <w:tblW w:w="4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0"/>
        <w:gridCol w:w="1940"/>
      </w:tblGrid>
      <w:tr w:rsidR="00A94C83" w:rsidRPr="00623FB2" w:rsidTr="00D574A0">
        <w:trPr>
          <w:trHeight w:val="345"/>
        </w:trPr>
        <w:tc>
          <w:tcPr>
            <w:tcW w:w="3040" w:type="dxa"/>
            <w:shd w:val="clear" w:color="auto" w:fill="auto"/>
            <w:noWrap/>
            <w:vAlign w:val="center"/>
            <w:hideMark/>
          </w:tcPr>
          <w:p w:rsidR="00A94C83" w:rsidRPr="00623FB2" w:rsidRDefault="00A94C83" w:rsidP="00D574A0">
            <w:pPr>
              <w:spacing w:after="0" w:line="240" w:lineRule="auto"/>
              <w:rPr>
                <w:rFonts w:ascii="Calibri" w:eastAsia="Times New Roman" w:hAnsi="Calibri" w:cs="Calibri"/>
                <w:b/>
                <w:bCs/>
                <w:color w:val="000000"/>
                <w:lang w:eastAsia="es-ES"/>
              </w:rPr>
            </w:pPr>
            <w:proofErr w:type="spellStart"/>
            <w:r w:rsidRPr="00623FB2">
              <w:rPr>
                <w:rFonts w:ascii="Calibri" w:eastAsia="Times New Roman" w:hAnsi="Calibri" w:cs="Calibri"/>
                <w:b/>
                <w:bCs/>
                <w:color w:val="000000"/>
                <w:lang w:eastAsia="es-ES"/>
              </w:rPr>
              <w:t>Immune</w:t>
            </w:r>
            <w:proofErr w:type="spellEnd"/>
            <w:r w:rsidRPr="00623FB2">
              <w:rPr>
                <w:rFonts w:ascii="Calibri" w:eastAsia="Times New Roman" w:hAnsi="Calibri" w:cs="Calibri"/>
                <w:b/>
                <w:bCs/>
                <w:color w:val="000000"/>
                <w:lang w:eastAsia="es-ES"/>
              </w:rPr>
              <w:t xml:space="preserve"> </w:t>
            </w:r>
            <w:proofErr w:type="spellStart"/>
            <w:r w:rsidRPr="00623FB2">
              <w:rPr>
                <w:rFonts w:ascii="Calibri" w:eastAsia="Times New Roman" w:hAnsi="Calibri" w:cs="Calibri"/>
                <w:b/>
                <w:bCs/>
                <w:color w:val="000000"/>
                <w:lang w:eastAsia="es-ES"/>
              </w:rPr>
              <w:t>Cell</w:t>
            </w:r>
            <w:proofErr w:type="spellEnd"/>
            <w:r w:rsidRPr="00623FB2">
              <w:rPr>
                <w:rFonts w:ascii="Calibri" w:eastAsia="Times New Roman" w:hAnsi="Calibri" w:cs="Calibri"/>
                <w:b/>
                <w:bCs/>
                <w:color w:val="000000"/>
                <w:lang w:eastAsia="es-ES"/>
              </w:rPr>
              <w:t xml:space="preserve"> </w:t>
            </w:r>
            <w:proofErr w:type="spellStart"/>
            <w:r w:rsidRPr="00623FB2">
              <w:rPr>
                <w:rFonts w:ascii="Calibri" w:eastAsia="Times New Roman" w:hAnsi="Calibri" w:cs="Calibri"/>
                <w:b/>
                <w:bCs/>
                <w:color w:val="000000"/>
                <w:lang w:eastAsia="es-ES"/>
              </w:rPr>
              <w:t>Subsets</w:t>
            </w:r>
            <w:proofErr w:type="spellEnd"/>
          </w:p>
        </w:tc>
        <w:tc>
          <w:tcPr>
            <w:tcW w:w="1940" w:type="dxa"/>
            <w:shd w:val="clear" w:color="auto" w:fill="auto"/>
            <w:noWrap/>
            <w:vAlign w:val="bottom"/>
            <w:hideMark/>
          </w:tcPr>
          <w:p w:rsidR="00A94C83" w:rsidRPr="00623FB2" w:rsidRDefault="00A94C83" w:rsidP="00D574A0">
            <w:pPr>
              <w:spacing w:after="0" w:line="240" w:lineRule="auto"/>
              <w:jc w:val="left"/>
              <w:rPr>
                <w:rFonts w:ascii="Calibri" w:eastAsia="Times New Roman" w:hAnsi="Calibri" w:cs="Calibri"/>
                <w:b/>
                <w:bCs/>
                <w:color w:val="000000"/>
                <w:lang w:eastAsia="es-ES"/>
              </w:rPr>
            </w:pPr>
            <w:r w:rsidRPr="00623FB2">
              <w:rPr>
                <w:rFonts w:ascii="Calibri" w:eastAsia="Times New Roman" w:hAnsi="Calibri" w:cs="Calibri"/>
                <w:b/>
                <w:bCs/>
                <w:color w:val="000000"/>
                <w:lang w:eastAsia="es-ES"/>
              </w:rPr>
              <w:t xml:space="preserve">Reference </w:t>
            </w:r>
            <w:proofErr w:type="spellStart"/>
            <w:r w:rsidRPr="00623FB2">
              <w:rPr>
                <w:rFonts w:ascii="Calibri" w:eastAsia="Times New Roman" w:hAnsi="Calibri" w:cs="Calibri"/>
                <w:b/>
                <w:bCs/>
                <w:color w:val="000000"/>
                <w:lang w:eastAsia="es-ES"/>
              </w:rPr>
              <w:t>Values</w:t>
            </w:r>
            <w:proofErr w:type="spellEnd"/>
            <w:r w:rsidRPr="00623FB2">
              <w:rPr>
                <w:rFonts w:ascii="Calibri" w:eastAsia="Times New Roman" w:hAnsi="Calibri" w:cs="Calibri"/>
                <w:b/>
                <w:bCs/>
                <w:color w:val="000000"/>
                <w:lang w:eastAsia="es-ES"/>
              </w:rPr>
              <w:t xml:space="preserve"> </w:t>
            </w:r>
          </w:p>
        </w:tc>
      </w:tr>
      <w:tr w:rsidR="00A94C83" w:rsidRPr="00623FB2" w:rsidTr="00D574A0">
        <w:trPr>
          <w:trHeight w:val="375"/>
        </w:trPr>
        <w:tc>
          <w:tcPr>
            <w:tcW w:w="3040" w:type="dxa"/>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r w:rsidRPr="00623FB2">
              <w:rPr>
                <w:rFonts w:ascii="Calibri" w:eastAsia="Times New Roman" w:hAnsi="Calibri" w:cs="Calibri"/>
                <w:color w:val="000000"/>
                <w:lang w:eastAsia="es-ES"/>
              </w:rPr>
              <w:t>CD3 (</w:t>
            </w:r>
            <w:proofErr w:type="spellStart"/>
            <w:r w:rsidRPr="00623FB2">
              <w:rPr>
                <w:rFonts w:ascii="Calibri" w:eastAsia="Times New Roman" w:hAnsi="Calibri" w:cs="Calibri"/>
                <w:color w:val="000000"/>
                <w:lang w:eastAsia="es-ES"/>
              </w:rPr>
              <w:t>cells</w:t>
            </w:r>
            <w:proofErr w:type="spellEnd"/>
            <w:r w:rsidRPr="00623FB2">
              <w:rPr>
                <w:rFonts w:ascii="Calibri" w:eastAsia="Times New Roman" w:hAnsi="Calibri" w:cs="Calibri"/>
                <w:color w:val="000000"/>
                <w:lang w:eastAsia="es-ES"/>
              </w:rPr>
              <w:t>/µL)</w:t>
            </w:r>
          </w:p>
        </w:tc>
        <w:tc>
          <w:tcPr>
            <w:tcW w:w="1940" w:type="dxa"/>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700-2100</w:t>
            </w:r>
          </w:p>
        </w:tc>
      </w:tr>
      <w:tr w:rsidR="00A94C83" w:rsidRPr="00623FB2" w:rsidTr="00D574A0">
        <w:trPr>
          <w:trHeight w:val="390"/>
        </w:trPr>
        <w:tc>
          <w:tcPr>
            <w:tcW w:w="3040" w:type="dxa"/>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r w:rsidRPr="00623FB2">
              <w:rPr>
                <w:rFonts w:ascii="Calibri" w:eastAsia="Times New Roman" w:hAnsi="Calibri" w:cs="Calibri"/>
                <w:color w:val="000000"/>
                <w:lang w:eastAsia="es-ES"/>
              </w:rPr>
              <w:t>CD4 (</w:t>
            </w:r>
            <w:proofErr w:type="spellStart"/>
            <w:r w:rsidRPr="00623FB2">
              <w:rPr>
                <w:rFonts w:ascii="Calibri" w:eastAsia="Times New Roman" w:hAnsi="Calibri" w:cs="Calibri"/>
                <w:color w:val="000000"/>
                <w:lang w:eastAsia="es-ES"/>
              </w:rPr>
              <w:t>cells</w:t>
            </w:r>
            <w:proofErr w:type="spellEnd"/>
            <w:r w:rsidRPr="00623FB2">
              <w:rPr>
                <w:rFonts w:ascii="Calibri" w:eastAsia="Times New Roman" w:hAnsi="Calibri" w:cs="Calibri"/>
                <w:color w:val="000000"/>
                <w:lang w:eastAsia="es-ES"/>
              </w:rPr>
              <w:t>/µL)</w:t>
            </w:r>
          </w:p>
        </w:tc>
        <w:tc>
          <w:tcPr>
            <w:tcW w:w="1940" w:type="dxa"/>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300-1400</w:t>
            </w:r>
          </w:p>
        </w:tc>
      </w:tr>
      <w:tr w:rsidR="00A94C83" w:rsidRPr="00623FB2" w:rsidTr="00D574A0">
        <w:trPr>
          <w:trHeight w:val="375"/>
        </w:trPr>
        <w:tc>
          <w:tcPr>
            <w:tcW w:w="3040" w:type="dxa"/>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r w:rsidRPr="00623FB2">
              <w:rPr>
                <w:rFonts w:ascii="Calibri" w:eastAsia="Times New Roman" w:hAnsi="Calibri" w:cs="Calibri"/>
                <w:color w:val="000000"/>
                <w:lang w:eastAsia="es-ES"/>
              </w:rPr>
              <w:t>CD8 (</w:t>
            </w:r>
            <w:proofErr w:type="spellStart"/>
            <w:r w:rsidRPr="00623FB2">
              <w:rPr>
                <w:rFonts w:ascii="Calibri" w:eastAsia="Times New Roman" w:hAnsi="Calibri" w:cs="Calibri"/>
                <w:color w:val="000000"/>
                <w:lang w:eastAsia="es-ES"/>
              </w:rPr>
              <w:t>cells</w:t>
            </w:r>
            <w:proofErr w:type="spellEnd"/>
            <w:r w:rsidRPr="00623FB2">
              <w:rPr>
                <w:rFonts w:ascii="Calibri" w:eastAsia="Times New Roman" w:hAnsi="Calibri" w:cs="Calibri"/>
                <w:color w:val="000000"/>
                <w:lang w:eastAsia="es-ES"/>
              </w:rPr>
              <w:t>/µL)</w:t>
            </w:r>
          </w:p>
        </w:tc>
        <w:tc>
          <w:tcPr>
            <w:tcW w:w="1940" w:type="dxa"/>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200-900</w:t>
            </w:r>
          </w:p>
        </w:tc>
      </w:tr>
      <w:tr w:rsidR="00A94C83" w:rsidRPr="00623FB2" w:rsidTr="00D574A0">
        <w:trPr>
          <w:trHeight w:val="390"/>
        </w:trPr>
        <w:tc>
          <w:tcPr>
            <w:tcW w:w="3040" w:type="dxa"/>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r w:rsidRPr="00623FB2">
              <w:rPr>
                <w:rFonts w:ascii="Calibri" w:eastAsia="Times New Roman" w:hAnsi="Calibri" w:cs="Calibri"/>
                <w:color w:val="000000"/>
                <w:lang w:eastAsia="es-ES"/>
              </w:rPr>
              <w:t xml:space="preserve">B </w:t>
            </w:r>
            <w:proofErr w:type="spellStart"/>
            <w:r w:rsidRPr="00623FB2">
              <w:rPr>
                <w:rFonts w:ascii="Calibri" w:eastAsia="Times New Roman" w:hAnsi="Calibri" w:cs="Calibri"/>
                <w:color w:val="000000"/>
                <w:lang w:eastAsia="es-ES"/>
              </w:rPr>
              <w:t>cells</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cells</w:t>
            </w:r>
            <w:proofErr w:type="spellEnd"/>
            <w:r w:rsidRPr="00623FB2">
              <w:rPr>
                <w:rFonts w:ascii="Calibri" w:eastAsia="Times New Roman" w:hAnsi="Calibri" w:cs="Calibri"/>
                <w:color w:val="000000"/>
                <w:lang w:eastAsia="es-ES"/>
              </w:rPr>
              <w:t>/µL)</w:t>
            </w:r>
          </w:p>
        </w:tc>
        <w:tc>
          <w:tcPr>
            <w:tcW w:w="1940" w:type="dxa"/>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100-500</w:t>
            </w:r>
          </w:p>
        </w:tc>
      </w:tr>
      <w:tr w:rsidR="00A94C83" w:rsidRPr="00623FB2" w:rsidTr="00D574A0">
        <w:trPr>
          <w:trHeight w:val="375"/>
        </w:trPr>
        <w:tc>
          <w:tcPr>
            <w:tcW w:w="3040" w:type="dxa"/>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Nk</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cells</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cells</w:t>
            </w:r>
            <w:proofErr w:type="spellEnd"/>
            <w:r w:rsidRPr="00623FB2">
              <w:rPr>
                <w:rFonts w:ascii="Calibri" w:eastAsia="Times New Roman" w:hAnsi="Calibri" w:cs="Calibri"/>
                <w:color w:val="000000"/>
                <w:lang w:eastAsia="es-ES"/>
              </w:rPr>
              <w:t>/µL)</w:t>
            </w:r>
          </w:p>
        </w:tc>
        <w:tc>
          <w:tcPr>
            <w:tcW w:w="1940" w:type="dxa"/>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90-600</w:t>
            </w:r>
          </w:p>
        </w:tc>
      </w:tr>
      <w:tr w:rsidR="00A94C83" w:rsidRPr="00623FB2" w:rsidTr="00D574A0">
        <w:trPr>
          <w:trHeight w:val="345"/>
        </w:trPr>
        <w:tc>
          <w:tcPr>
            <w:tcW w:w="3040" w:type="dxa"/>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Lymphocytes</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cells</w:t>
            </w:r>
            <w:proofErr w:type="spellEnd"/>
            <w:r w:rsidRPr="00623FB2">
              <w:rPr>
                <w:rFonts w:ascii="Calibri" w:eastAsia="Times New Roman" w:hAnsi="Calibri" w:cs="Calibri"/>
                <w:color w:val="000000"/>
                <w:lang w:eastAsia="es-ES"/>
              </w:rPr>
              <w:t>/µL)</w:t>
            </w:r>
          </w:p>
        </w:tc>
        <w:tc>
          <w:tcPr>
            <w:tcW w:w="1940" w:type="dxa"/>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1000-2800</w:t>
            </w:r>
          </w:p>
        </w:tc>
      </w:tr>
    </w:tbl>
    <w:p w:rsidR="00A94C83" w:rsidRPr="00623FB2" w:rsidRDefault="00A94C83" w:rsidP="00A94C83">
      <w:pPr>
        <w:rPr>
          <w:lang w:val="en-US"/>
        </w:rPr>
      </w:pPr>
    </w:p>
    <w:p w:rsidR="00A94C83" w:rsidRPr="00623FB2" w:rsidRDefault="00A94C83" w:rsidP="00A94C83">
      <w:pPr>
        <w:rPr>
          <w:b/>
          <w:bCs/>
          <w:lang w:val="en-US"/>
        </w:rPr>
      </w:pPr>
      <w:r w:rsidRPr="00623FB2">
        <w:rPr>
          <w:b/>
          <w:bCs/>
          <w:lang w:val="en-US"/>
        </w:rPr>
        <w:t>Biochemical soluble biomarkers.</w:t>
      </w:r>
    </w:p>
    <w:p w:rsidR="00A94C83" w:rsidRPr="00623FB2" w:rsidRDefault="00A94C83" w:rsidP="00A94C83">
      <w:pPr>
        <w:spacing w:line="480" w:lineRule="auto"/>
        <w:rPr>
          <w:lang w:val="en-US"/>
        </w:rPr>
      </w:pPr>
      <w:r w:rsidRPr="00623FB2">
        <w:rPr>
          <w:lang w:val="en-US"/>
        </w:rPr>
        <w:t xml:space="preserve">Biochemical soluble markers, including blood proteins, micronutrients, soluble iron metabolism-related markers and inflammatory biomarkers, were routinely determined by </w:t>
      </w:r>
      <w:r w:rsidRPr="00623FB2">
        <w:rPr>
          <w:lang w:val="en-US"/>
        </w:rPr>
        <w:lastRenderedPageBreak/>
        <w:t>standard procedures at the Biochemistry Service of our hospital. Blood proteins, micronutrients, transferrin and soluble transferrin receptor (</w:t>
      </w:r>
      <w:proofErr w:type="spellStart"/>
      <w:r w:rsidRPr="00623FB2">
        <w:rPr>
          <w:lang w:val="en-US"/>
        </w:rPr>
        <w:t>sTfR</w:t>
      </w:r>
      <w:proofErr w:type="spellEnd"/>
      <w:r w:rsidRPr="00623FB2">
        <w:rPr>
          <w:lang w:val="en-US"/>
        </w:rPr>
        <w:t xml:space="preserve">) were measured by photometry and ferritin by particle enhanced immunoturbidimetric assay in a Hitachi Cobas C702 modular analyzer (Roche Diagnostics, </w:t>
      </w:r>
      <w:proofErr w:type="spellStart"/>
      <w:r w:rsidRPr="00623FB2">
        <w:rPr>
          <w:lang w:val="en-US"/>
        </w:rPr>
        <w:t>Rotkreuz</w:t>
      </w:r>
      <w:proofErr w:type="spellEnd"/>
      <w:r w:rsidRPr="00623FB2">
        <w:rPr>
          <w:lang w:val="en-US"/>
        </w:rPr>
        <w:t xml:space="preserve">, Switzerland). </w:t>
      </w:r>
      <w:proofErr w:type="spellStart"/>
      <w:r w:rsidRPr="00623FB2">
        <w:rPr>
          <w:lang w:val="en-US"/>
        </w:rPr>
        <w:t>TfSI</w:t>
      </w:r>
      <w:proofErr w:type="spellEnd"/>
      <w:r w:rsidRPr="00623FB2">
        <w:rPr>
          <w:lang w:val="en-US"/>
        </w:rPr>
        <w:t xml:space="preserve"> was estimated as (total plasma iron (µg/dL) x100)</w:t>
      </w:r>
      <w:proofErr w:type="gramStart"/>
      <w:r w:rsidRPr="00623FB2">
        <w:rPr>
          <w:lang w:val="en-US"/>
        </w:rPr>
        <w:t>/(</w:t>
      </w:r>
      <w:proofErr w:type="gramEnd"/>
      <w:r w:rsidRPr="00623FB2">
        <w:rPr>
          <w:lang w:val="en-US"/>
        </w:rPr>
        <w:t xml:space="preserve">transferrin (mg/dL)x1.27). </w:t>
      </w:r>
      <w:proofErr w:type="spellStart"/>
      <w:r w:rsidRPr="00623FB2">
        <w:rPr>
          <w:lang w:val="en-US"/>
        </w:rPr>
        <w:t>hsCRP</w:t>
      </w:r>
      <w:proofErr w:type="spellEnd"/>
      <w:r w:rsidRPr="00623FB2">
        <w:rPr>
          <w:lang w:val="en-US"/>
        </w:rPr>
        <w:t xml:space="preserve"> and β2-microglobulin levels were determined in frozen serum samples with an immunoturbidimetric assay using Cobas 701 (Roche Diagnostics, Mannheim, Germany). Measurements of the levels of homocysteine were performed by photometry according to manufacturer’s instructions, and D-dimer levels were quantified by using an automated latex enhanced immunoassay using frozen plasma samples (</w:t>
      </w:r>
      <w:proofErr w:type="spellStart"/>
      <w:r w:rsidRPr="00623FB2">
        <w:rPr>
          <w:lang w:val="en-US"/>
        </w:rPr>
        <w:t>HemosIL</w:t>
      </w:r>
      <w:proofErr w:type="spellEnd"/>
      <w:r w:rsidRPr="00623FB2">
        <w:rPr>
          <w:lang w:val="en-US"/>
        </w:rPr>
        <w:t xml:space="preserve"> D-Dimer HS 500, Instrumentation Laboratory, Bedford, Massachusetts). Reference values for biochemical soluble markers are given in the table below.</w:t>
      </w:r>
    </w:p>
    <w:tbl>
      <w:tblPr>
        <w:tblW w:w="4980" w:type="dxa"/>
        <w:tblCellMar>
          <w:left w:w="70" w:type="dxa"/>
          <w:right w:w="70" w:type="dxa"/>
        </w:tblCellMar>
        <w:tblLook w:val="04A0" w:firstRow="1" w:lastRow="0" w:firstColumn="1" w:lastColumn="0" w:noHBand="0" w:noVBand="1"/>
      </w:tblPr>
      <w:tblGrid>
        <w:gridCol w:w="3040"/>
        <w:gridCol w:w="1940"/>
      </w:tblGrid>
      <w:tr w:rsidR="00A94C83" w:rsidRPr="00623FB2" w:rsidTr="00D574A0">
        <w:trPr>
          <w:trHeight w:val="284"/>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left"/>
              <w:rPr>
                <w:rFonts w:ascii="Calibri" w:eastAsia="Times New Roman" w:hAnsi="Calibri" w:cs="Calibri"/>
                <w:b/>
                <w:bCs/>
                <w:color w:val="000000"/>
                <w:lang w:eastAsia="es-ES"/>
              </w:rPr>
            </w:pPr>
            <w:proofErr w:type="spellStart"/>
            <w:r w:rsidRPr="00623FB2">
              <w:rPr>
                <w:rFonts w:ascii="Calibri" w:eastAsia="Times New Roman" w:hAnsi="Calibri" w:cs="Calibri"/>
                <w:b/>
                <w:bCs/>
                <w:color w:val="000000"/>
                <w:lang w:eastAsia="es-ES"/>
              </w:rPr>
              <w:t>Biochemical</w:t>
            </w:r>
            <w:proofErr w:type="spellEnd"/>
            <w:r w:rsidRPr="00623FB2">
              <w:rPr>
                <w:rFonts w:ascii="Calibri" w:eastAsia="Times New Roman" w:hAnsi="Calibri" w:cs="Calibri"/>
                <w:b/>
                <w:bCs/>
                <w:color w:val="000000"/>
                <w:lang w:eastAsia="es-ES"/>
              </w:rPr>
              <w:t xml:space="preserve"> Soluble </w:t>
            </w:r>
            <w:proofErr w:type="spellStart"/>
            <w:r w:rsidRPr="00623FB2">
              <w:rPr>
                <w:rFonts w:ascii="Calibri" w:eastAsia="Times New Roman" w:hAnsi="Calibri" w:cs="Calibri"/>
                <w:b/>
                <w:bCs/>
                <w:color w:val="000000"/>
                <w:lang w:eastAsia="es-ES"/>
              </w:rPr>
              <w:t>Markers</w:t>
            </w:r>
            <w:proofErr w:type="spellEnd"/>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left"/>
              <w:rPr>
                <w:rFonts w:ascii="Calibri" w:eastAsia="Times New Roman" w:hAnsi="Calibri" w:cs="Calibri"/>
                <w:b/>
                <w:bCs/>
                <w:color w:val="000000"/>
                <w:lang w:eastAsia="es-ES"/>
              </w:rPr>
            </w:pPr>
            <w:r w:rsidRPr="00623FB2">
              <w:rPr>
                <w:rFonts w:ascii="Calibri" w:eastAsia="Times New Roman" w:hAnsi="Calibri" w:cs="Calibri"/>
                <w:b/>
                <w:bCs/>
                <w:color w:val="000000"/>
                <w:lang w:eastAsia="es-ES"/>
              </w:rPr>
              <w:t xml:space="preserve">Reference </w:t>
            </w:r>
            <w:proofErr w:type="spellStart"/>
            <w:r w:rsidRPr="00623FB2">
              <w:rPr>
                <w:rFonts w:ascii="Calibri" w:eastAsia="Times New Roman" w:hAnsi="Calibri" w:cs="Calibri"/>
                <w:b/>
                <w:bCs/>
                <w:color w:val="000000"/>
                <w:lang w:eastAsia="es-ES"/>
              </w:rPr>
              <w:t>Values</w:t>
            </w:r>
            <w:proofErr w:type="spellEnd"/>
            <w:r w:rsidRPr="00623FB2">
              <w:rPr>
                <w:rFonts w:ascii="Calibri" w:eastAsia="Times New Roman" w:hAnsi="Calibri" w:cs="Calibri"/>
                <w:b/>
                <w:bCs/>
                <w:color w:val="000000"/>
                <w:lang w:eastAsia="es-ES"/>
              </w:rPr>
              <w:t xml:space="preserve"> </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Albumin</w:t>
            </w:r>
            <w:proofErr w:type="spellEnd"/>
            <w:r w:rsidRPr="00623FB2">
              <w:rPr>
                <w:rFonts w:ascii="Calibri" w:eastAsia="Times New Roman" w:hAnsi="Calibri" w:cs="Calibri"/>
                <w:color w:val="000000"/>
                <w:lang w:eastAsia="es-ES"/>
              </w:rPr>
              <w:t xml:space="preserve"> (g/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3.5-5.0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IgA</w:t>
            </w:r>
            <w:proofErr w:type="spellEnd"/>
            <w:r w:rsidRPr="00623FB2">
              <w:rPr>
                <w:rFonts w:ascii="Calibri" w:eastAsia="Times New Roman" w:hAnsi="Calibri" w:cs="Calibri"/>
                <w:color w:val="000000"/>
                <w:lang w:eastAsia="es-ES"/>
              </w:rPr>
              <w:t xml:space="preserve"> (mg/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40-350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IgM</w:t>
            </w:r>
            <w:proofErr w:type="spellEnd"/>
            <w:r w:rsidRPr="00623FB2">
              <w:rPr>
                <w:rFonts w:ascii="Calibri" w:eastAsia="Times New Roman" w:hAnsi="Calibri" w:cs="Calibri"/>
                <w:color w:val="000000"/>
                <w:lang w:eastAsia="es-ES"/>
              </w:rPr>
              <w:t xml:space="preserve"> (mg/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50-300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IgG</w:t>
            </w:r>
            <w:proofErr w:type="spellEnd"/>
            <w:r w:rsidRPr="00623FB2">
              <w:rPr>
                <w:rFonts w:ascii="Calibri" w:eastAsia="Times New Roman" w:hAnsi="Calibri" w:cs="Calibri"/>
                <w:color w:val="000000"/>
                <w:lang w:eastAsia="es-ES"/>
              </w:rPr>
              <w:t xml:space="preserve"> (mg/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700-1600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Vitamin</w:t>
            </w:r>
            <w:proofErr w:type="spellEnd"/>
            <w:r w:rsidRPr="00623FB2">
              <w:rPr>
                <w:rFonts w:ascii="Calibri" w:eastAsia="Times New Roman" w:hAnsi="Calibri" w:cs="Calibri"/>
                <w:color w:val="000000"/>
                <w:lang w:eastAsia="es-ES"/>
              </w:rPr>
              <w:t xml:space="preserve"> B12 (</w:t>
            </w:r>
            <w:proofErr w:type="spellStart"/>
            <w:r w:rsidRPr="00623FB2">
              <w:rPr>
                <w:rFonts w:ascii="Calibri" w:eastAsia="Times New Roman" w:hAnsi="Calibri" w:cs="Calibri"/>
                <w:color w:val="000000"/>
                <w:lang w:eastAsia="es-ES"/>
              </w:rPr>
              <w:t>pg</w:t>
            </w:r>
            <w:proofErr w:type="spellEnd"/>
            <w:r w:rsidRPr="00623FB2">
              <w:rPr>
                <w:rFonts w:ascii="Calibri" w:eastAsia="Times New Roman" w:hAnsi="Calibri" w:cs="Calibri"/>
                <w:color w:val="000000"/>
                <w:lang w:eastAsia="es-ES"/>
              </w:rPr>
              <w:t>/</w:t>
            </w:r>
            <w:proofErr w:type="spellStart"/>
            <w:r w:rsidRPr="00623FB2">
              <w:rPr>
                <w:rFonts w:ascii="Calibri" w:eastAsia="Times New Roman" w:hAnsi="Calibri" w:cs="Calibri"/>
                <w:color w:val="000000"/>
                <w:lang w:eastAsia="es-ES"/>
              </w:rPr>
              <w:t>mL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191-663</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Folate</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ng</w:t>
            </w:r>
            <w:proofErr w:type="spellEnd"/>
            <w:r w:rsidRPr="00623FB2">
              <w:rPr>
                <w:rFonts w:ascii="Calibri" w:eastAsia="Times New Roman" w:hAnsi="Calibri" w:cs="Calibri"/>
                <w:color w:val="000000"/>
                <w:lang w:eastAsia="es-ES"/>
              </w:rPr>
              <w:t>/</w:t>
            </w:r>
            <w:proofErr w:type="spellStart"/>
            <w:r w:rsidRPr="00623FB2">
              <w:rPr>
                <w:rFonts w:ascii="Calibri" w:eastAsia="Times New Roman" w:hAnsi="Calibri" w:cs="Calibri"/>
                <w:color w:val="000000"/>
                <w:lang w:eastAsia="es-ES"/>
              </w:rPr>
              <w:t>mL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2.9-16.9</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Calcium</w:t>
            </w:r>
            <w:proofErr w:type="spellEnd"/>
            <w:r w:rsidRPr="00623FB2">
              <w:rPr>
                <w:rFonts w:ascii="Calibri" w:eastAsia="Times New Roman" w:hAnsi="Calibri" w:cs="Calibri"/>
                <w:color w:val="000000"/>
                <w:lang w:eastAsia="es-ES"/>
              </w:rPr>
              <w:t xml:space="preserve"> (mg/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8.5-10.5</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Phosphorous</w:t>
            </w:r>
            <w:proofErr w:type="spellEnd"/>
            <w:r w:rsidRPr="00623FB2">
              <w:rPr>
                <w:rFonts w:ascii="Calibri" w:eastAsia="Times New Roman" w:hAnsi="Calibri" w:cs="Calibri"/>
                <w:color w:val="000000"/>
                <w:lang w:eastAsia="es-ES"/>
              </w:rPr>
              <w:t xml:space="preserve"> (mg/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2.7-4.5</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r w:rsidRPr="00623FB2">
              <w:rPr>
                <w:rFonts w:ascii="Calibri" w:eastAsia="Times New Roman" w:hAnsi="Calibri" w:cs="Calibri"/>
                <w:color w:val="000000"/>
                <w:lang w:eastAsia="es-ES"/>
              </w:rPr>
              <w:t>Sodium (</w:t>
            </w:r>
            <w:proofErr w:type="spellStart"/>
            <w:r w:rsidRPr="00623FB2">
              <w:rPr>
                <w:rFonts w:ascii="Calibri" w:eastAsia="Times New Roman" w:hAnsi="Calibri" w:cs="Calibri"/>
                <w:color w:val="000000"/>
                <w:lang w:eastAsia="es-ES"/>
              </w:rPr>
              <w:t>mEq</w:t>
            </w:r>
            <w:proofErr w:type="spellEnd"/>
            <w:r w:rsidRPr="00623FB2">
              <w:rPr>
                <w:rFonts w:ascii="Calibri" w:eastAsia="Times New Roman" w:hAnsi="Calibri" w:cs="Calibri"/>
                <w:color w:val="000000"/>
                <w:lang w:eastAsia="es-ES"/>
              </w:rPr>
              <w:t>/L)</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135-145</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Potassium</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mEq</w:t>
            </w:r>
            <w:proofErr w:type="spellEnd"/>
            <w:r w:rsidRPr="00623FB2">
              <w:rPr>
                <w:rFonts w:ascii="Calibri" w:eastAsia="Times New Roman" w:hAnsi="Calibri" w:cs="Calibri"/>
                <w:color w:val="000000"/>
                <w:lang w:eastAsia="es-ES"/>
              </w:rPr>
              <w:t>/L)</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3.5-5.1</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Magnesium</w:t>
            </w:r>
            <w:proofErr w:type="spellEnd"/>
            <w:r w:rsidRPr="00623FB2">
              <w:rPr>
                <w:rFonts w:ascii="Calibri" w:eastAsia="Times New Roman" w:hAnsi="Calibri" w:cs="Calibri"/>
                <w:color w:val="000000"/>
                <w:lang w:eastAsia="es-ES"/>
              </w:rPr>
              <w:t xml:space="preserve"> (mg/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1.80-2.60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Iron</w:t>
            </w:r>
            <w:proofErr w:type="spellEnd"/>
            <w:r w:rsidRPr="00623FB2">
              <w:rPr>
                <w:rFonts w:ascii="Calibri" w:eastAsia="Times New Roman" w:hAnsi="Calibri" w:cs="Calibri"/>
                <w:color w:val="000000"/>
                <w:lang w:eastAsia="es-ES"/>
              </w:rPr>
              <w:t xml:space="preserve"> (µg/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65-175</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TfSI</w:t>
            </w:r>
            <w:proofErr w:type="spellEnd"/>
            <w:r w:rsidRPr="00623FB2">
              <w:rPr>
                <w:rFonts w:ascii="Calibri" w:eastAsia="Times New Roman" w:hAnsi="Calibri" w:cs="Calibri"/>
                <w:color w:val="000000"/>
                <w:lang w:eastAsia="es-ES"/>
              </w:rPr>
              <w:t xml:space="preserve"> (%)</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15-45</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tabs>
                <w:tab w:val="left" w:pos="1220"/>
              </w:tabs>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Transferrin</w:t>
            </w:r>
            <w:proofErr w:type="spellEnd"/>
            <w:r w:rsidRPr="00623FB2">
              <w:rPr>
                <w:rFonts w:ascii="Calibri" w:eastAsia="Times New Roman" w:hAnsi="Calibri" w:cs="Calibri"/>
                <w:color w:val="000000"/>
                <w:lang w:eastAsia="es-ES"/>
              </w:rPr>
              <w:t xml:space="preserve"> (mg/</w:t>
            </w:r>
            <w:proofErr w:type="spellStart"/>
            <w:r w:rsidRPr="00623FB2">
              <w:rPr>
                <w:rFonts w:ascii="Calibri" w:eastAsia="Times New Roman" w:hAnsi="Calibri" w:cs="Calibri"/>
                <w:color w:val="000000"/>
                <w:lang w:eastAsia="es-ES"/>
              </w:rPr>
              <w:t>dL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215-365</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sTfR</w:t>
            </w:r>
            <w:proofErr w:type="spellEnd"/>
            <w:r w:rsidRPr="00623FB2">
              <w:rPr>
                <w:rFonts w:ascii="Calibri" w:eastAsia="Times New Roman" w:hAnsi="Calibri" w:cs="Calibri"/>
                <w:color w:val="000000"/>
                <w:lang w:eastAsia="es-ES"/>
              </w:rPr>
              <w:t xml:space="preserve"> (mg/L)</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2.2-5.0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Ferritin</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ng</w:t>
            </w:r>
            <w:proofErr w:type="spellEnd"/>
            <w:r w:rsidRPr="00623FB2">
              <w:rPr>
                <w:rFonts w:ascii="Calibri" w:eastAsia="Times New Roman" w:hAnsi="Calibri" w:cs="Calibri"/>
                <w:color w:val="000000"/>
                <w:lang w:eastAsia="es-ES"/>
              </w:rPr>
              <w:t>/</w:t>
            </w:r>
            <w:proofErr w:type="spellStart"/>
            <w:r w:rsidRPr="00623FB2">
              <w:rPr>
                <w:rFonts w:ascii="Calibri" w:eastAsia="Times New Roman" w:hAnsi="Calibri" w:cs="Calibri"/>
                <w:color w:val="000000"/>
                <w:lang w:eastAsia="es-ES"/>
              </w:rPr>
              <w:t>mL</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Men</w:t>
            </w:r>
            <w:proofErr w:type="spellEnd"/>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30-400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Homocysteine</w:t>
            </w:r>
            <w:proofErr w:type="spellEnd"/>
            <w:r w:rsidRPr="00623FB2">
              <w:rPr>
                <w:rFonts w:ascii="Calibri" w:eastAsia="Times New Roman" w:hAnsi="Calibri" w:cs="Calibri"/>
                <w:color w:val="000000"/>
                <w:lang w:eastAsia="es-ES"/>
              </w:rPr>
              <w:t xml:space="preserve"> (mg/L)</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0.0-2.0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r w:rsidRPr="00623FB2">
              <w:rPr>
                <w:rFonts w:ascii="Calibri" w:eastAsia="Times New Roman" w:hAnsi="Calibri" w:cs="Calibri"/>
                <w:color w:val="000000"/>
                <w:lang w:eastAsia="es-ES"/>
              </w:rPr>
              <w:t xml:space="preserve">β-2 </w:t>
            </w:r>
            <w:proofErr w:type="spellStart"/>
            <w:r w:rsidRPr="00623FB2">
              <w:rPr>
                <w:rFonts w:ascii="Calibri" w:eastAsia="Times New Roman" w:hAnsi="Calibri" w:cs="Calibri"/>
                <w:color w:val="000000"/>
                <w:lang w:eastAsia="es-ES"/>
              </w:rPr>
              <w:t>microglobulin</w:t>
            </w:r>
            <w:proofErr w:type="spellEnd"/>
            <w:r w:rsidRPr="00623FB2">
              <w:rPr>
                <w:rFonts w:ascii="Calibri" w:eastAsia="Times New Roman" w:hAnsi="Calibri" w:cs="Calibri"/>
                <w:color w:val="000000"/>
                <w:lang w:eastAsia="es-ES"/>
              </w:rPr>
              <w:t xml:space="preserve"> (mg/L)</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1.50-2.50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proofErr w:type="spellStart"/>
            <w:r w:rsidRPr="00623FB2">
              <w:rPr>
                <w:rFonts w:ascii="Calibri" w:eastAsia="Times New Roman" w:hAnsi="Calibri" w:cs="Calibri"/>
                <w:color w:val="000000"/>
                <w:lang w:eastAsia="es-ES"/>
              </w:rPr>
              <w:t>hsCRP</w:t>
            </w:r>
            <w:proofErr w:type="spellEnd"/>
            <w:r w:rsidRPr="00623FB2">
              <w:rPr>
                <w:rFonts w:ascii="Calibri" w:eastAsia="Times New Roman" w:hAnsi="Calibri" w:cs="Calibri"/>
                <w:color w:val="000000"/>
                <w:lang w:eastAsia="es-ES"/>
              </w:rPr>
              <w:t xml:space="preserve"> (mg/L)</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0.0-3.0</w:t>
            </w:r>
          </w:p>
        </w:tc>
      </w:tr>
      <w:tr w:rsidR="00A94C83" w:rsidRPr="00623FB2" w:rsidTr="00D574A0">
        <w:trPr>
          <w:trHeight w:val="284"/>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A94C83" w:rsidRPr="00623FB2" w:rsidRDefault="00A94C83" w:rsidP="00D574A0">
            <w:pPr>
              <w:spacing w:after="0" w:line="240" w:lineRule="auto"/>
              <w:rPr>
                <w:rFonts w:ascii="Calibri" w:eastAsia="Times New Roman" w:hAnsi="Calibri" w:cs="Calibri"/>
                <w:color w:val="000000"/>
                <w:lang w:eastAsia="es-ES"/>
              </w:rPr>
            </w:pPr>
            <w:r w:rsidRPr="00623FB2">
              <w:rPr>
                <w:rFonts w:ascii="Calibri" w:eastAsia="Times New Roman" w:hAnsi="Calibri" w:cs="Calibri"/>
                <w:color w:val="000000"/>
                <w:lang w:eastAsia="es-ES"/>
              </w:rPr>
              <w:t>D-</w:t>
            </w:r>
            <w:proofErr w:type="spellStart"/>
            <w:r w:rsidRPr="00623FB2">
              <w:rPr>
                <w:rFonts w:ascii="Calibri" w:eastAsia="Times New Roman" w:hAnsi="Calibri" w:cs="Calibri"/>
                <w:color w:val="000000"/>
                <w:lang w:eastAsia="es-ES"/>
              </w:rPr>
              <w:t>Dimers</w:t>
            </w:r>
            <w:proofErr w:type="spellEnd"/>
            <w:r w:rsidRPr="00623FB2">
              <w:rPr>
                <w:rFonts w:ascii="Calibri" w:eastAsia="Times New Roman" w:hAnsi="Calibri" w:cs="Calibri"/>
                <w:color w:val="000000"/>
                <w:lang w:eastAsia="es-ES"/>
              </w:rPr>
              <w:t xml:space="preserve"> (</w:t>
            </w:r>
            <w:proofErr w:type="spellStart"/>
            <w:r w:rsidRPr="00623FB2">
              <w:rPr>
                <w:rFonts w:ascii="Calibri" w:eastAsia="Times New Roman" w:hAnsi="Calibri" w:cs="Calibri"/>
                <w:color w:val="000000"/>
                <w:lang w:eastAsia="es-ES"/>
              </w:rPr>
              <w:t>ng</w:t>
            </w:r>
            <w:proofErr w:type="spellEnd"/>
            <w:r w:rsidRPr="00623FB2">
              <w:rPr>
                <w:rFonts w:ascii="Calibri" w:eastAsia="Times New Roman" w:hAnsi="Calibri" w:cs="Calibri"/>
                <w:color w:val="000000"/>
                <w:lang w:eastAsia="es-ES"/>
              </w:rPr>
              <w:t>/</w:t>
            </w:r>
            <w:proofErr w:type="spellStart"/>
            <w:r w:rsidRPr="00623FB2">
              <w:rPr>
                <w:rFonts w:ascii="Calibri" w:eastAsia="Times New Roman" w:hAnsi="Calibri" w:cs="Calibri"/>
                <w:color w:val="000000"/>
                <w:lang w:eastAsia="es-ES"/>
              </w:rPr>
              <w:t>mL</w:t>
            </w:r>
            <w:proofErr w:type="spellEnd"/>
            <w:r w:rsidRPr="00623FB2">
              <w:rPr>
                <w:rFonts w:ascii="Calibri" w:eastAsia="Times New Roman" w:hAnsi="Calibri" w:cs="Calibri"/>
                <w:color w:val="000000"/>
                <w:lang w:eastAsia="es-ES"/>
              </w:rPr>
              <w:t>)</w:t>
            </w:r>
          </w:p>
        </w:tc>
        <w:tc>
          <w:tcPr>
            <w:tcW w:w="1940" w:type="dxa"/>
            <w:tcBorders>
              <w:top w:val="nil"/>
              <w:left w:val="nil"/>
              <w:bottom w:val="single" w:sz="4" w:space="0" w:color="auto"/>
              <w:right w:val="single" w:sz="4" w:space="0" w:color="auto"/>
            </w:tcBorders>
            <w:shd w:val="clear" w:color="auto" w:fill="auto"/>
            <w:noWrap/>
            <w:vAlign w:val="bottom"/>
            <w:hideMark/>
          </w:tcPr>
          <w:p w:rsidR="00A94C83" w:rsidRPr="00623FB2" w:rsidRDefault="00A94C83" w:rsidP="00D574A0">
            <w:pPr>
              <w:spacing w:after="0" w:line="240" w:lineRule="auto"/>
              <w:jc w:val="center"/>
              <w:rPr>
                <w:rFonts w:ascii="Calibri" w:eastAsia="Times New Roman" w:hAnsi="Calibri" w:cs="Calibri"/>
                <w:color w:val="000000"/>
                <w:lang w:eastAsia="es-ES"/>
              </w:rPr>
            </w:pPr>
            <w:r w:rsidRPr="00623FB2">
              <w:rPr>
                <w:rFonts w:ascii="Calibri" w:eastAsia="Times New Roman" w:hAnsi="Calibri" w:cs="Calibri"/>
                <w:color w:val="000000"/>
                <w:lang w:eastAsia="es-ES"/>
              </w:rPr>
              <w:t> 1-500</w:t>
            </w:r>
          </w:p>
        </w:tc>
      </w:tr>
    </w:tbl>
    <w:p w:rsidR="00A94C83" w:rsidRPr="00623FB2" w:rsidRDefault="00A94C83" w:rsidP="00A94C83">
      <w:pPr>
        <w:spacing w:line="480" w:lineRule="auto"/>
        <w:rPr>
          <w:b/>
          <w:bCs/>
          <w:lang w:val="en-US"/>
        </w:rPr>
      </w:pPr>
    </w:p>
    <w:p w:rsidR="00A94C83" w:rsidRPr="00623FB2" w:rsidRDefault="00A94C83" w:rsidP="00A94C83">
      <w:pPr>
        <w:spacing w:line="480" w:lineRule="auto"/>
        <w:rPr>
          <w:b/>
          <w:bCs/>
          <w:lang w:val="en-US"/>
        </w:rPr>
      </w:pPr>
      <w:r w:rsidRPr="00623FB2">
        <w:rPr>
          <w:b/>
          <w:bCs/>
          <w:lang w:val="en-US"/>
        </w:rPr>
        <w:t>RTL quantification</w:t>
      </w:r>
    </w:p>
    <w:p w:rsidR="00A94C83" w:rsidRPr="00623FB2" w:rsidRDefault="00A94C83" w:rsidP="00A94C83">
      <w:pPr>
        <w:spacing w:line="480" w:lineRule="auto"/>
        <w:rPr>
          <w:lang w:val="en-US"/>
        </w:rPr>
      </w:pPr>
      <w:r w:rsidRPr="00623FB2">
        <w:rPr>
          <w:lang w:val="en-US"/>
        </w:rPr>
        <w:lastRenderedPageBreak/>
        <w:t xml:space="preserve">For RTL quantification, copy number quantifications were performed by quantitative polymerase chain reaction (qPCR). Copy number quantifications were performed by qPCR following a standard protocol [*]. We used 60 ng of DNA for each reaction and determined the ratio between number of copies of the telomere sequence and the single copy gen Beta-globin. Primers sequences (5´-3´) were: Telomere Forward (GGTTTTTGAGGGTGAGGGTGAGGGTGAGGGTGAGGGT) and Reverse (TCCCGACTATCCCTATCCCTATCCCTATCCCTATCCCTA). For each reaction, 60 ng of DNA were used.; Human Beta-Globin Forward (ACACAACTGTGTTCACTAGG) and Reverse (CAACTTCATCCACGTTCACC). The fluorescent reading for the copy number quantification was performed in a Light-cycler 480 (Roche). (Extended in Supplementary Methodology). </w:t>
      </w:r>
    </w:p>
    <w:p w:rsidR="00A94C83" w:rsidRPr="00623FB2" w:rsidRDefault="00A94C83" w:rsidP="00A94C83">
      <w:pPr>
        <w:spacing w:line="480" w:lineRule="auto"/>
        <w:ind w:left="142" w:hanging="142"/>
        <w:rPr>
          <w:lang w:val="en-US"/>
        </w:rPr>
      </w:pPr>
      <w:r w:rsidRPr="00623FB2">
        <w:rPr>
          <w:lang w:val="en-US"/>
        </w:rPr>
        <w:t xml:space="preserve">* Cawthon RM. Telomere length measurement by a novel monochrome multiplex quantitative PCR method. Nucleic Acids Res. 2009; 37:e21.   </w:t>
      </w:r>
    </w:p>
    <w:p w:rsidR="00A94C83" w:rsidRPr="00623FB2" w:rsidRDefault="00A94C83" w:rsidP="00A94C83">
      <w:pPr>
        <w:pStyle w:val="Heading3"/>
        <w:spacing w:line="480" w:lineRule="auto"/>
        <w:rPr>
          <w:rFonts w:asciiTheme="minorHAnsi" w:eastAsiaTheme="minorHAnsi" w:hAnsiTheme="minorHAnsi" w:cstheme="minorBidi"/>
          <w:b/>
          <w:bCs/>
          <w:i/>
          <w:iCs/>
          <w:sz w:val="22"/>
          <w:szCs w:val="22"/>
          <w:lang w:val="en-US"/>
        </w:rPr>
      </w:pPr>
      <w:r w:rsidRPr="00623FB2">
        <w:rPr>
          <w:rFonts w:asciiTheme="minorHAnsi" w:eastAsiaTheme="minorHAnsi" w:hAnsiTheme="minorHAnsi" w:cstheme="minorBidi"/>
          <w:b/>
          <w:bCs/>
          <w:i/>
          <w:iCs/>
          <w:sz w:val="22"/>
          <w:szCs w:val="22"/>
          <w:lang w:val="en-US"/>
        </w:rPr>
        <w:t>Thymic output quantification (</w:t>
      </w:r>
      <w:proofErr w:type="spellStart"/>
      <w:r w:rsidRPr="00623FB2">
        <w:rPr>
          <w:rFonts w:asciiTheme="minorHAnsi" w:eastAsiaTheme="minorHAnsi" w:hAnsiTheme="minorHAnsi" w:cstheme="minorBidi"/>
          <w:b/>
          <w:bCs/>
          <w:i/>
          <w:iCs/>
          <w:sz w:val="22"/>
          <w:szCs w:val="22"/>
          <w:lang w:val="en-US"/>
        </w:rPr>
        <w:t>sj</w:t>
      </w:r>
      <w:proofErr w:type="spellEnd"/>
      <w:r w:rsidRPr="00623FB2">
        <w:rPr>
          <w:rFonts w:asciiTheme="minorHAnsi" w:eastAsiaTheme="minorHAnsi" w:hAnsiTheme="minorHAnsi" w:cstheme="minorBidi"/>
          <w:b/>
          <w:bCs/>
          <w:i/>
          <w:iCs/>
          <w:sz w:val="22"/>
          <w:szCs w:val="22"/>
          <w:lang w:val="en-US"/>
        </w:rPr>
        <w:t>/β-TRECs ratio)</w:t>
      </w:r>
    </w:p>
    <w:p w:rsidR="00A94C83" w:rsidRPr="00623FB2" w:rsidRDefault="00A94C83" w:rsidP="00A94C83">
      <w:pPr>
        <w:spacing w:line="480" w:lineRule="auto"/>
        <w:rPr>
          <w:lang w:val="en-US"/>
        </w:rPr>
      </w:pPr>
      <w:r w:rsidRPr="00623FB2">
        <w:rPr>
          <w:rFonts w:ascii="Calibri" w:hAnsi="Calibri" w:cs="Calibri"/>
          <w:lang w:val="en-US"/>
        </w:rPr>
        <w:t xml:space="preserve">The thymic output was calculated as the </w:t>
      </w:r>
      <w:proofErr w:type="spellStart"/>
      <w:r w:rsidRPr="00623FB2">
        <w:rPr>
          <w:rFonts w:ascii="Calibri" w:hAnsi="Calibri" w:cs="Calibri"/>
          <w:lang w:val="en-US"/>
        </w:rPr>
        <w:t>sj</w:t>
      </w:r>
      <w:proofErr w:type="spellEnd"/>
      <w:r w:rsidRPr="00623FB2">
        <w:rPr>
          <w:rFonts w:ascii="Calibri" w:hAnsi="Calibri" w:cs="Calibri"/>
          <w:lang w:val="en-US"/>
        </w:rPr>
        <w:t>/β-TRECs ratio by Droplet Digital PCR (</w:t>
      </w:r>
      <w:proofErr w:type="spellStart"/>
      <w:r w:rsidRPr="00623FB2">
        <w:rPr>
          <w:rFonts w:ascii="Calibri" w:hAnsi="Calibri" w:cs="Calibri"/>
          <w:lang w:val="en-US"/>
        </w:rPr>
        <w:t>ddPCR</w:t>
      </w:r>
      <w:proofErr w:type="spellEnd"/>
      <w:r w:rsidRPr="00623FB2">
        <w:rPr>
          <w:rFonts w:ascii="Calibri" w:hAnsi="Calibri" w:cs="Calibri"/>
          <w:lang w:val="en-US"/>
        </w:rPr>
        <w:t xml:space="preserve">), in a single reaction, optimized from </w:t>
      </w:r>
      <w:proofErr w:type="spellStart"/>
      <w:r w:rsidRPr="00623FB2">
        <w:rPr>
          <w:rFonts w:ascii="Calibri" w:hAnsi="Calibri" w:cs="Calibri"/>
          <w:lang w:val="en-US"/>
        </w:rPr>
        <w:t>Profaizer</w:t>
      </w:r>
      <w:proofErr w:type="spellEnd"/>
      <w:r w:rsidRPr="00623FB2">
        <w:rPr>
          <w:rFonts w:ascii="Calibri" w:hAnsi="Calibri" w:cs="Calibri"/>
          <w:lang w:val="en-US"/>
        </w:rPr>
        <w:t xml:space="preserve"> T et al., 2020 </w:t>
      </w:r>
      <w:sdt>
        <w:sdtPr>
          <w:rPr>
            <w:rFonts w:ascii="Calibri" w:hAnsi="Calibri" w:cs="Calibri"/>
            <w:color w:val="000000"/>
            <w:lang w:val="en-US"/>
          </w:rPr>
          <w:tag w:val="MENDELEY_CITATION_v3_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"/>
          <w:id w:val="-667323415"/>
          <w:placeholder>
            <w:docPart w:val="7169E2D71B0B4B39A1F18ACE288D0B05"/>
          </w:placeholder>
        </w:sdtPr>
        <w:sdtEndPr>
          <w:rPr>
            <w:rFonts w:asciiTheme="minorHAnsi" w:hAnsiTheme="minorHAnsi" w:cstheme="minorBidi"/>
            <w:lang w:val="es-ES"/>
          </w:rPr>
        </w:sdtEndPr>
        <w:sdtContent>
          <w:r w:rsidRPr="00623FB2">
            <w:rPr>
              <w:color w:val="000000"/>
              <w:lang w:val="en-US"/>
            </w:rPr>
            <w:t>[1]</w:t>
          </w:r>
        </w:sdtContent>
      </w:sdt>
      <w:r w:rsidRPr="00623FB2">
        <w:rPr>
          <w:rFonts w:ascii="Calibri" w:hAnsi="Calibri" w:cs="Calibri"/>
          <w:lang w:val="en-US"/>
        </w:rPr>
        <w:t xml:space="preserve"> and according to the manufacturer’s recommendations, in a QX200 system (BIORAD). Primers and probes design were optimized from Ferrando-Martinez et al., 2010  </w:t>
      </w:r>
      <w:sdt>
        <w:sdtPr>
          <w:rPr>
            <w:rFonts w:ascii="Calibri" w:hAnsi="Calibri" w:cs="Calibri"/>
            <w:color w:val="000000"/>
            <w:lang w:val="en-US"/>
          </w:rPr>
          <w:tag w:val="MENDELEY_CITATION_v3_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"/>
          <w:id w:val="49738150"/>
          <w:placeholder>
            <w:docPart w:val="7169E2D71B0B4B39A1F18ACE288D0B05"/>
          </w:placeholder>
        </w:sdtPr>
        <w:sdtEndPr>
          <w:rPr>
            <w:rFonts w:asciiTheme="minorHAnsi" w:hAnsiTheme="minorHAnsi" w:cstheme="minorBidi"/>
            <w:lang w:val="es-ES"/>
          </w:rPr>
        </w:sdtEndPr>
        <w:sdtContent>
          <w:r w:rsidRPr="00623FB2">
            <w:rPr>
              <w:color w:val="000000"/>
              <w:lang w:val="en-US"/>
            </w:rPr>
            <w:t>[2]</w:t>
          </w:r>
        </w:sdtContent>
      </w:sdt>
      <w:r w:rsidRPr="00623FB2">
        <w:rPr>
          <w:rFonts w:ascii="Calibri" w:hAnsi="Calibri" w:cs="Calibri"/>
          <w:lang w:val="en-US"/>
        </w:rPr>
        <w:t xml:space="preserve">. Each </w:t>
      </w:r>
      <w:proofErr w:type="spellStart"/>
      <w:r w:rsidRPr="00623FB2">
        <w:rPr>
          <w:rFonts w:ascii="Calibri" w:hAnsi="Calibri" w:cs="Calibri"/>
          <w:lang w:val="en-US"/>
        </w:rPr>
        <w:t>ddPCR</w:t>
      </w:r>
      <w:proofErr w:type="spellEnd"/>
      <w:r w:rsidRPr="00623FB2">
        <w:rPr>
          <w:rFonts w:ascii="Calibri" w:hAnsi="Calibri" w:cs="Calibri"/>
          <w:lang w:val="en-US"/>
        </w:rPr>
        <w:t xml:space="preserve"> reaction containing 150 ng of DNA extracted from cryopreserved PBMC, 1x </w:t>
      </w:r>
      <w:proofErr w:type="spellStart"/>
      <w:r w:rsidRPr="00623FB2">
        <w:rPr>
          <w:rFonts w:ascii="Calibri" w:hAnsi="Calibri" w:cs="Calibri"/>
          <w:lang w:val="en-US"/>
        </w:rPr>
        <w:t>ddPCR</w:t>
      </w:r>
      <w:proofErr w:type="spellEnd"/>
      <w:r w:rsidRPr="00623FB2">
        <w:rPr>
          <w:rFonts w:ascii="Calibri" w:hAnsi="Calibri" w:cs="Calibri"/>
          <w:lang w:val="en-US"/>
        </w:rPr>
        <w:t xml:space="preserve"> </w:t>
      </w:r>
      <w:proofErr w:type="spellStart"/>
      <w:r w:rsidRPr="00623FB2">
        <w:rPr>
          <w:rFonts w:ascii="Calibri" w:hAnsi="Calibri" w:cs="Calibri"/>
          <w:lang w:val="en-US"/>
        </w:rPr>
        <w:t>Supermix</w:t>
      </w:r>
      <w:proofErr w:type="spellEnd"/>
      <w:r w:rsidRPr="00623FB2">
        <w:rPr>
          <w:rFonts w:ascii="Calibri" w:hAnsi="Calibri" w:cs="Calibri"/>
          <w:lang w:val="en-US"/>
        </w:rPr>
        <w:t xml:space="preserve"> no UTP for Probes (BIORAD), 250 </w:t>
      </w:r>
      <w:proofErr w:type="spellStart"/>
      <w:r w:rsidRPr="00623FB2">
        <w:rPr>
          <w:rFonts w:ascii="Calibri" w:hAnsi="Calibri" w:cs="Calibri"/>
          <w:lang w:val="en-US"/>
        </w:rPr>
        <w:t>nM</w:t>
      </w:r>
      <w:proofErr w:type="spellEnd"/>
      <w:r w:rsidRPr="00623FB2">
        <w:rPr>
          <w:rFonts w:ascii="Calibri" w:hAnsi="Calibri" w:cs="Calibri"/>
          <w:lang w:val="en-US"/>
        </w:rPr>
        <w:t xml:space="preserve"> HEX labelled Delta Probe, 250 </w:t>
      </w:r>
      <w:proofErr w:type="spellStart"/>
      <w:r w:rsidRPr="00623FB2">
        <w:rPr>
          <w:rFonts w:ascii="Calibri" w:hAnsi="Calibri" w:cs="Calibri"/>
          <w:lang w:val="en-US"/>
        </w:rPr>
        <w:t>nM</w:t>
      </w:r>
      <w:proofErr w:type="spellEnd"/>
      <w:r w:rsidRPr="00623FB2">
        <w:rPr>
          <w:rFonts w:ascii="Calibri" w:hAnsi="Calibri" w:cs="Calibri"/>
          <w:lang w:val="en-US"/>
        </w:rPr>
        <w:t xml:space="preserve"> of FAM labelled Beta Probe, 1 µM of 6 different Beta Forward primers, 1 µM of Beta reverse primer, 1 µM of Delta forward primer and 1 µM of Delta reverse primers. The final volume of the reaction was 20 µl. The results were analyzed by using the </w:t>
      </w:r>
      <w:proofErr w:type="spellStart"/>
      <w:r w:rsidRPr="00623FB2">
        <w:rPr>
          <w:rFonts w:ascii="Calibri" w:hAnsi="Calibri" w:cs="Calibri"/>
          <w:lang w:val="en-US"/>
        </w:rPr>
        <w:t>Quantasoft</w:t>
      </w:r>
      <w:proofErr w:type="spellEnd"/>
      <w:r w:rsidRPr="00623FB2">
        <w:rPr>
          <w:rFonts w:ascii="Calibri" w:hAnsi="Calibri" w:cs="Calibri"/>
          <w:lang w:val="en-US"/>
        </w:rPr>
        <w:t xml:space="preserve"> 1.7.1 Software. </w:t>
      </w:r>
      <w:r w:rsidRPr="00623FB2">
        <w:rPr>
          <w:lang w:val="en-US"/>
        </w:rPr>
        <w:t>The limit of detection was 1 copy by reaction.</w:t>
      </w:r>
    </w:p>
    <w:p w:rsidR="00A94C83" w:rsidRPr="00623FB2" w:rsidRDefault="00A94C83" w:rsidP="00A94C83">
      <w:pPr>
        <w:autoSpaceDE w:val="0"/>
        <w:autoSpaceDN w:val="0"/>
        <w:spacing w:line="480" w:lineRule="auto"/>
        <w:ind w:left="142" w:hanging="142"/>
      </w:pPr>
      <w:r w:rsidRPr="00623FB2">
        <w:rPr>
          <w:lang w:val="en-US"/>
        </w:rPr>
        <w:t xml:space="preserve">1. </w:t>
      </w:r>
      <w:proofErr w:type="spellStart"/>
      <w:r w:rsidRPr="00623FB2">
        <w:rPr>
          <w:rFonts w:eastAsia="Times New Roman"/>
          <w:lang w:val="en-US"/>
        </w:rPr>
        <w:t>Profaizer</w:t>
      </w:r>
      <w:proofErr w:type="spellEnd"/>
      <w:r w:rsidRPr="00623FB2">
        <w:rPr>
          <w:rFonts w:eastAsia="Times New Roman"/>
          <w:lang w:val="en-US"/>
        </w:rPr>
        <w:t xml:space="preserve"> T, </w:t>
      </w:r>
      <w:proofErr w:type="spellStart"/>
      <w:r w:rsidRPr="00623FB2">
        <w:rPr>
          <w:rFonts w:eastAsia="Times New Roman"/>
          <w:lang w:val="en-US"/>
        </w:rPr>
        <w:t>Slev</w:t>
      </w:r>
      <w:proofErr w:type="spellEnd"/>
      <w:r w:rsidRPr="00623FB2">
        <w:rPr>
          <w:rFonts w:eastAsia="Times New Roman"/>
          <w:lang w:val="en-US"/>
        </w:rPr>
        <w:t xml:space="preserve"> P. A multiplex, droplet digital PCR assay for the detection of T-cell receptor excision circles and kappa-deleting recombination excision circles. </w:t>
      </w:r>
      <w:proofErr w:type="spellStart"/>
      <w:r w:rsidRPr="00623FB2">
        <w:rPr>
          <w:rFonts w:eastAsia="Times New Roman"/>
        </w:rPr>
        <w:t>Clin</w:t>
      </w:r>
      <w:proofErr w:type="spellEnd"/>
      <w:r w:rsidRPr="00623FB2">
        <w:rPr>
          <w:rFonts w:eastAsia="Times New Roman"/>
        </w:rPr>
        <w:t xml:space="preserve"> </w:t>
      </w:r>
      <w:proofErr w:type="spellStart"/>
      <w:r w:rsidRPr="00623FB2">
        <w:rPr>
          <w:rFonts w:eastAsia="Times New Roman"/>
        </w:rPr>
        <w:t>Chem</w:t>
      </w:r>
      <w:proofErr w:type="spellEnd"/>
      <w:r w:rsidRPr="00623FB2">
        <w:rPr>
          <w:rFonts w:eastAsia="Times New Roman"/>
        </w:rPr>
        <w:t xml:space="preserve">. 2020; 66:229–38. </w:t>
      </w:r>
    </w:p>
    <w:p w:rsidR="00A94C83" w:rsidRPr="00623FB2" w:rsidRDefault="00A94C83" w:rsidP="00A94C83">
      <w:pPr>
        <w:spacing w:line="480" w:lineRule="auto"/>
        <w:ind w:left="142" w:hanging="142"/>
        <w:rPr>
          <w:lang w:val="en-US"/>
        </w:rPr>
      </w:pPr>
      <w:r w:rsidRPr="00623FB2">
        <w:lastRenderedPageBreak/>
        <w:t xml:space="preserve">2. </w:t>
      </w:r>
      <w:r w:rsidRPr="00623FB2">
        <w:rPr>
          <w:rFonts w:eastAsia="Times New Roman"/>
        </w:rPr>
        <w:t xml:space="preserve">Ferrando-Martínez S, Franco JM, Ruiz-Mateos E, et al. </w:t>
      </w:r>
      <w:r w:rsidRPr="00623FB2">
        <w:rPr>
          <w:rFonts w:eastAsia="Times New Roman"/>
          <w:lang w:val="en-US"/>
        </w:rPr>
        <w:t xml:space="preserve">A reliable and simplified </w:t>
      </w:r>
      <w:proofErr w:type="spellStart"/>
      <w:r w:rsidRPr="00623FB2">
        <w:rPr>
          <w:rFonts w:eastAsia="Times New Roman"/>
          <w:lang w:val="en-US"/>
        </w:rPr>
        <w:t>sj</w:t>
      </w:r>
      <w:proofErr w:type="spellEnd"/>
      <w:r w:rsidRPr="00623FB2">
        <w:rPr>
          <w:rFonts w:eastAsia="Times New Roman"/>
          <w:lang w:val="en-US"/>
        </w:rPr>
        <w:t>/</w:t>
      </w:r>
      <w:r w:rsidRPr="00623FB2">
        <w:rPr>
          <w:rFonts w:eastAsia="Times New Roman"/>
        </w:rPr>
        <w:t>β</w:t>
      </w:r>
      <w:r w:rsidRPr="00623FB2">
        <w:rPr>
          <w:rFonts w:eastAsia="Times New Roman"/>
          <w:lang w:val="en-US"/>
        </w:rPr>
        <w:t>-TREC ratio quantification method for human thymic output measurement. J Immunol Methods. 2010; 352:111–7.</w:t>
      </w:r>
    </w:p>
    <w:p w:rsidR="00A94C83" w:rsidRPr="00623FB2" w:rsidRDefault="00A94C83" w:rsidP="00A94C83">
      <w:pPr>
        <w:pStyle w:val="Heading3"/>
        <w:spacing w:line="480" w:lineRule="auto"/>
        <w:rPr>
          <w:rFonts w:asciiTheme="minorHAnsi" w:eastAsiaTheme="minorHAnsi" w:hAnsiTheme="minorHAnsi" w:cstheme="minorBidi"/>
          <w:b/>
          <w:i/>
          <w:iCs/>
          <w:sz w:val="22"/>
          <w:szCs w:val="22"/>
          <w:lang w:val="en-US"/>
        </w:rPr>
      </w:pPr>
      <w:r w:rsidRPr="00623FB2">
        <w:rPr>
          <w:rFonts w:asciiTheme="minorHAnsi" w:eastAsiaTheme="minorHAnsi" w:hAnsiTheme="minorHAnsi" w:cstheme="minorBidi"/>
          <w:b/>
          <w:i/>
          <w:iCs/>
          <w:sz w:val="22"/>
          <w:szCs w:val="22"/>
          <w:lang w:val="en-US"/>
        </w:rPr>
        <w:t>Thymosin-α1 quantification</w:t>
      </w:r>
    </w:p>
    <w:p w:rsidR="00A94C83" w:rsidRPr="00345EFD" w:rsidRDefault="00A94C83" w:rsidP="00A94C83">
      <w:pPr>
        <w:spacing w:line="480" w:lineRule="auto"/>
        <w:rPr>
          <w:b/>
          <w:bCs/>
          <w:lang w:val="en-US"/>
        </w:rPr>
      </w:pPr>
      <w:r w:rsidRPr="00623FB2">
        <w:rPr>
          <w:lang w:val="en-US"/>
        </w:rPr>
        <w:t>Thymosin-α1 was quantified in plasma samples using the Human Thymosin-α1 competitive ELISA kit (</w:t>
      </w:r>
      <w:proofErr w:type="spellStart"/>
      <w:r w:rsidRPr="00623FB2">
        <w:rPr>
          <w:lang w:val="en-US"/>
        </w:rPr>
        <w:t>MyBiosurce</w:t>
      </w:r>
      <w:proofErr w:type="spellEnd"/>
      <w:r w:rsidRPr="00623FB2">
        <w:rPr>
          <w:lang w:val="en-US"/>
        </w:rPr>
        <w:t xml:space="preserve">®) for research purposes only, following manufacturer’s instructions. Absorbance for thymosin-α1 were read at 450nm using a </w:t>
      </w:r>
      <w:proofErr w:type="spellStart"/>
      <w:r w:rsidRPr="00623FB2">
        <w:rPr>
          <w:lang w:val="en-US"/>
        </w:rPr>
        <w:t>CLARIOstar</w:t>
      </w:r>
      <w:proofErr w:type="spellEnd"/>
      <w:r w:rsidRPr="00623FB2">
        <w:rPr>
          <w:lang w:val="en-US"/>
        </w:rPr>
        <w:t xml:space="preserve">® microplate reader (BMG </w:t>
      </w:r>
      <w:proofErr w:type="spellStart"/>
      <w:r w:rsidRPr="00623FB2">
        <w:rPr>
          <w:lang w:val="en-US"/>
        </w:rPr>
        <w:t>labtech</w:t>
      </w:r>
      <w:proofErr w:type="spellEnd"/>
      <w:r w:rsidRPr="00623FB2">
        <w:rPr>
          <w:lang w:val="en-US"/>
        </w:rPr>
        <w:t xml:space="preserve">, </w:t>
      </w:r>
      <w:proofErr w:type="spellStart"/>
      <w:r w:rsidRPr="00623FB2">
        <w:rPr>
          <w:lang w:val="en-US"/>
        </w:rPr>
        <w:t>Ortenberg</w:t>
      </w:r>
      <w:proofErr w:type="spellEnd"/>
      <w:r w:rsidRPr="00623FB2">
        <w:rPr>
          <w:lang w:val="en-US"/>
        </w:rPr>
        <w:t>, Germany). The limit of detection was 1 ng/</w:t>
      </w:r>
      <w:proofErr w:type="spellStart"/>
      <w:r w:rsidRPr="00623FB2">
        <w:rPr>
          <w:lang w:val="en-US"/>
        </w:rPr>
        <w:t>mL.</w:t>
      </w:r>
      <w:proofErr w:type="spellEnd"/>
    </w:p>
    <w:p w:rsidR="008F7317" w:rsidRDefault="00623FB2"/>
    <w:sectPr w:rsidR="008F73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A94C83"/>
    <w:rsid w:val="0022169D"/>
    <w:rsid w:val="00623FB2"/>
    <w:rsid w:val="00731BE9"/>
    <w:rsid w:val="00A94C83"/>
    <w:rsid w:val="00C962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C83"/>
    <w:pPr>
      <w:spacing w:line="252" w:lineRule="auto"/>
      <w:jc w:val="both"/>
    </w:pPr>
    <w:rPr>
      <w:rFonts w:eastAsiaTheme="minorEastAsia"/>
      <w:kern w:val="0"/>
      <w14:ligatures w14:val="none"/>
    </w:rPr>
  </w:style>
  <w:style w:type="paragraph" w:styleId="Heading3">
    <w:name w:val="heading 3"/>
    <w:basedOn w:val="Normal"/>
    <w:next w:val="Normal"/>
    <w:link w:val="Heading3Char"/>
    <w:uiPriority w:val="9"/>
    <w:unhideWhenUsed/>
    <w:qFormat/>
    <w:rsid w:val="00A94C83"/>
    <w:pPr>
      <w:keepNext/>
      <w:keepLines/>
      <w:spacing w:before="120" w:after="0"/>
      <w:outlineLvl w:val="2"/>
    </w:pPr>
    <w:rPr>
      <w:rFonts w:asciiTheme="majorHAnsi" w:eastAsiaTheme="majorEastAsia" w:hAnsiTheme="majorHAnsi" w:cstheme="majorBidi"/>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94C83"/>
    <w:rPr>
      <w:rFonts w:asciiTheme="majorHAnsi" w:eastAsiaTheme="majorEastAsia" w:hAnsiTheme="majorHAnsi" w:cstheme="majorBidi"/>
      <w:spacing w:val="4"/>
      <w:kern w:val="0"/>
      <w:sz w:val="24"/>
      <w:szCs w:val="24"/>
      <w14:ligatures w14:val="none"/>
    </w:rPr>
  </w:style>
  <w:style w:type="character" w:styleId="Strong">
    <w:name w:val="Strong"/>
    <w:basedOn w:val="DefaultParagraphFont"/>
    <w:uiPriority w:val="22"/>
    <w:qFormat/>
    <w:rsid w:val="00A94C83"/>
    <w:rPr>
      <w:b/>
      <w:bCs/>
      <w:color w:val="auto"/>
    </w:rPr>
  </w:style>
  <w:style w:type="paragraph" w:styleId="BalloonText">
    <w:name w:val="Balloon Text"/>
    <w:basedOn w:val="Normal"/>
    <w:link w:val="BalloonTextChar"/>
    <w:uiPriority w:val="99"/>
    <w:semiHidden/>
    <w:unhideWhenUsed/>
    <w:rsid w:val="00623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FB2"/>
    <w:rPr>
      <w:rFonts w:ascii="Tahoma" w:eastAsiaTheme="minorEastAsi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C83"/>
    <w:pPr>
      <w:spacing w:line="252" w:lineRule="auto"/>
      <w:jc w:val="both"/>
    </w:pPr>
    <w:rPr>
      <w:rFonts w:eastAsiaTheme="minorEastAsia"/>
      <w:kern w:val="0"/>
      <w14:ligatures w14:val="none"/>
    </w:rPr>
  </w:style>
  <w:style w:type="paragraph" w:styleId="Heading3">
    <w:name w:val="heading 3"/>
    <w:basedOn w:val="Normal"/>
    <w:next w:val="Normal"/>
    <w:link w:val="Heading3Char"/>
    <w:uiPriority w:val="9"/>
    <w:unhideWhenUsed/>
    <w:qFormat/>
    <w:rsid w:val="00A94C83"/>
    <w:pPr>
      <w:keepNext/>
      <w:keepLines/>
      <w:spacing w:before="120" w:after="0"/>
      <w:outlineLvl w:val="2"/>
    </w:pPr>
    <w:rPr>
      <w:rFonts w:asciiTheme="majorHAnsi" w:eastAsiaTheme="majorEastAsia" w:hAnsiTheme="majorHAnsi" w:cstheme="majorBidi"/>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94C83"/>
    <w:rPr>
      <w:rFonts w:asciiTheme="majorHAnsi" w:eastAsiaTheme="majorEastAsia" w:hAnsiTheme="majorHAnsi" w:cstheme="majorBidi"/>
      <w:spacing w:val="4"/>
      <w:kern w:val="0"/>
      <w:sz w:val="24"/>
      <w:szCs w:val="24"/>
      <w14:ligatures w14:val="none"/>
    </w:rPr>
  </w:style>
  <w:style w:type="character" w:styleId="Strong">
    <w:name w:val="Strong"/>
    <w:basedOn w:val="DefaultParagraphFont"/>
    <w:uiPriority w:val="22"/>
    <w:qFormat/>
    <w:rsid w:val="00A94C83"/>
    <w:rPr>
      <w:b/>
      <w:bCs/>
      <w:color w:val="auto"/>
    </w:rPr>
  </w:style>
  <w:style w:type="paragraph" w:styleId="BalloonText">
    <w:name w:val="Balloon Text"/>
    <w:basedOn w:val="Normal"/>
    <w:link w:val="BalloonTextChar"/>
    <w:uiPriority w:val="99"/>
    <w:semiHidden/>
    <w:unhideWhenUsed/>
    <w:rsid w:val="00623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FB2"/>
    <w:rPr>
      <w:rFonts w:ascii="Tahoma" w:eastAsiaTheme="minorEastAsi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69E2D71B0B4B39A1F18ACE288D0B05"/>
        <w:category>
          <w:name w:val="General"/>
          <w:gallery w:val="placeholder"/>
        </w:category>
        <w:types>
          <w:type w:val="bbPlcHdr"/>
        </w:types>
        <w:behaviors>
          <w:behavior w:val="content"/>
        </w:behaviors>
        <w:guid w:val="{AB21328B-5D63-4A9A-853B-3FEB75A2C1AA}"/>
      </w:docPartPr>
      <w:docPartBody>
        <w:p w:rsidR="006C0ECE" w:rsidRDefault="00F2598E" w:rsidP="00F2598E">
          <w:pPr>
            <w:pStyle w:val="7169E2D71B0B4B39A1F18ACE288D0B05"/>
          </w:pPr>
          <w:r w:rsidRPr="002D724B">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8E"/>
    <w:rsid w:val="006C0ECE"/>
    <w:rsid w:val="00945924"/>
    <w:rsid w:val="00966491"/>
    <w:rsid w:val="00F259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98E"/>
    <w:rPr>
      <w:color w:val="808080"/>
    </w:rPr>
  </w:style>
  <w:style w:type="paragraph" w:customStyle="1" w:styleId="7169E2D71B0B4B39A1F18ACE288D0B05">
    <w:name w:val="7169E2D71B0B4B39A1F18ACE288D0B05"/>
    <w:rsid w:val="00F2598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98E"/>
    <w:rPr>
      <w:color w:val="808080"/>
    </w:rPr>
  </w:style>
  <w:style w:type="paragraph" w:customStyle="1" w:styleId="7169E2D71B0B4B39A1F18ACE288D0B05">
    <w:name w:val="7169E2D71B0B4B39A1F18ACE288D0B05"/>
    <w:rsid w:val="00F25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4852</Characters>
  <Application>Microsoft Office Word</Application>
  <DocSecurity>0</DocSecurity>
  <Lines>124</Lines>
  <Paragraphs>82</Paragraphs>
  <ScaleCrop>false</ScaleCrop>
  <Company/>
  <LinksUpToDate>false</LinksUpToDate>
  <CharactersWithSpaces>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Mar del Pozo Balado</dc:creator>
  <cp:keywords/>
  <dc:description/>
  <cp:lastModifiedBy>E744616</cp:lastModifiedBy>
  <cp:revision>2</cp:revision>
  <dcterms:created xsi:type="dcterms:W3CDTF">2023-02-17T10:13:00Z</dcterms:created>
  <dcterms:modified xsi:type="dcterms:W3CDTF">2023-02-28T04:19:00Z</dcterms:modified>
</cp:coreProperties>
</file>