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085DB" w14:textId="2AB6F64F" w:rsidR="00F657CC" w:rsidRDefault="00240DFC">
      <w:r>
        <w:rPr>
          <w:noProof/>
        </w:rPr>
        <w:drawing>
          <wp:inline distT="0" distB="0" distL="0" distR="0" wp14:anchorId="576681BE" wp14:editId="3BE71254">
            <wp:extent cx="5522782" cy="583840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535" cy="584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40DB7" w14:textId="264CE142" w:rsidR="00240DFC" w:rsidRDefault="00240DFC">
      <w:r>
        <w:t>Additional File S</w:t>
      </w:r>
      <w:r w:rsidR="00043EC0">
        <w:t>3</w:t>
      </w:r>
      <w:r>
        <w:t>. Peripheral blood cytokines across the life-course in healthy agers.</w:t>
      </w:r>
    </w:p>
    <w:sectPr w:rsidR="00240D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B93"/>
    <w:rsid w:val="00043EC0"/>
    <w:rsid w:val="00201A3C"/>
    <w:rsid w:val="00240DFC"/>
    <w:rsid w:val="00595A02"/>
    <w:rsid w:val="006017B5"/>
    <w:rsid w:val="00BF6B93"/>
    <w:rsid w:val="00F6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A5B2"/>
  <w15:chartTrackingRefBased/>
  <w15:docId w15:val="{662AEBF7-F401-4031-AC30-D7213566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Quin</dc:creator>
  <cp:keywords/>
  <dc:description/>
  <cp:lastModifiedBy>Quin, Candice</cp:lastModifiedBy>
  <cp:revision>3</cp:revision>
  <dcterms:created xsi:type="dcterms:W3CDTF">2023-03-16T18:52:00Z</dcterms:created>
  <dcterms:modified xsi:type="dcterms:W3CDTF">2024-08-22T10:34:00Z</dcterms:modified>
</cp:coreProperties>
</file>