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47393" w14:textId="670D6112" w:rsidR="00F657CC" w:rsidRDefault="00AB5CBE">
      <w:r>
        <w:rPr>
          <w:noProof/>
        </w:rPr>
        <w:drawing>
          <wp:inline distT="0" distB="0" distL="0" distR="0" wp14:anchorId="02CDA129" wp14:editId="4071C132">
            <wp:extent cx="5887565" cy="274044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644" cy="2746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1DB71" w14:textId="6368B021" w:rsidR="00AB5CBE" w:rsidRDefault="00AB5CBE">
      <w:r>
        <w:t>Additional File S</w:t>
      </w:r>
      <w:r w:rsidR="00CE069F">
        <w:t>4</w:t>
      </w:r>
      <w:r>
        <w:t>. Short-chain fatty acids in the peripheral blood of healthy agers.</w:t>
      </w:r>
    </w:p>
    <w:sectPr w:rsidR="00AB5C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37"/>
    <w:rsid w:val="00201A3C"/>
    <w:rsid w:val="004D0637"/>
    <w:rsid w:val="00595A02"/>
    <w:rsid w:val="006017B5"/>
    <w:rsid w:val="00AB5CBE"/>
    <w:rsid w:val="00CE069F"/>
    <w:rsid w:val="00F6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52C79"/>
  <w15:chartTrackingRefBased/>
  <w15:docId w15:val="{B1F17C8F-1087-4618-87B9-810B789D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Quin</dc:creator>
  <cp:keywords/>
  <dc:description/>
  <cp:lastModifiedBy>Quin, Candice</cp:lastModifiedBy>
  <cp:revision>2</cp:revision>
  <dcterms:created xsi:type="dcterms:W3CDTF">2024-08-22T10:35:00Z</dcterms:created>
  <dcterms:modified xsi:type="dcterms:W3CDTF">2024-08-22T10:35:00Z</dcterms:modified>
</cp:coreProperties>
</file>