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A71" w:rsidRDefault="009B1E09">
      <w:pPr>
        <w:suppressAutoHyphens w:val="0"/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es-ES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es-ES" w:bidi="ar-SA"/>
        </w:rPr>
        <w:t>SUPPLEMENTAL FIGURE LEGENDS</w:t>
      </w:r>
      <w:bookmarkStart w:id="0" w:name="_GoBack"/>
      <w:bookmarkEnd w:id="0"/>
    </w:p>
    <w:p w:rsidR="004D4A71" w:rsidRPr="009B1E09" w:rsidRDefault="009B1E09">
      <w:pPr>
        <w:suppressAutoHyphens w:val="0"/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val="en-US" w:eastAsia="es-ES" w:bidi="ar-SA"/>
        </w:rPr>
      </w:pPr>
      <w:r w:rsidRPr="009B1E09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val="en-US" w:eastAsia="es-ES" w:bidi="ar-SA"/>
        </w:rPr>
        <w:tab/>
      </w:r>
    </w:p>
    <w:p w:rsidR="004D4A71" w:rsidRDefault="009B1E09">
      <w:pPr>
        <w:suppressAutoHyphens w:val="0"/>
        <w:spacing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es-ES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es-ES" w:bidi="ar-SA"/>
        </w:rPr>
        <w:t>Supplementary Figure 1.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s-ES" w:bidi="ar-SA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s-ES" w:bidi="ar-SA"/>
        </w:rPr>
        <w:t>volution of the level of leukocytes, lymphocytes, monocytes and neutrophils during and around five months after the SARS-CoV-2 infection of five representative donors.</w:t>
      </w:r>
    </w:p>
    <w:p w:rsidR="00694827" w:rsidRDefault="00694827" w:rsidP="00694827">
      <w:pPr>
        <w:pStyle w:val="western"/>
        <w:spacing w:after="0" w:line="480" w:lineRule="auto"/>
        <w:rPr>
          <w:lang w:val="en-GB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Figure </w:t>
      </w:r>
      <w:r>
        <w:rPr>
          <w:rFonts w:ascii="Times New Roman" w:hAnsi="Times New Roman" w:cs="Times New Roman"/>
          <w:b/>
          <w:bCs/>
          <w:lang w:val="en-US"/>
        </w:rPr>
        <w:t>2</w:t>
      </w:r>
      <w:r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lang w:val="en-GB"/>
        </w:rPr>
        <w:t>Comparison between the level of total leukocytes, lymphocytes, monocytes and neutrophils populations before and after the SARS-CoV2 infection.</w:t>
      </w:r>
    </w:p>
    <w:p w:rsidR="00694827" w:rsidRPr="009B1E09" w:rsidRDefault="00694827">
      <w:pPr>
        <w:suppressAutoHyphens w:val="0"/>
        <w:spacing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GB" w:eastAsia="es-ES" w:bidi="ar-SA"/>
        </w:rPr>
      </w:pPr>
    </w:p>
    <w:p w:rsidR="004D4A71" w:rsidRPr="00694827" w:rsidRDefault="009B1E09">
      <w:pPr>
        <w:suppressAutoHyphens w:val="0"/>
        <w:spacing w:line="480" w:lineRule="auto"/>
        <w:jc w:val="both"/>
        <w:rPr>
          <w:rFonts w:hint="eastAsia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es-ES" w:bidi="ar-SA"/>
        </w:rPr>
        <w:t xml:space="preserve">Supplementary Figure </w:t>
      </w:r>
      <w:r w:rsidR="00694827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es-ES" w:bidi="ar-SA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es-ES" w:bidi="ar-S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s-ES" w:bidi="ar-SA"/>
        </w:rPr>
        <w:t>Relationship between cellular responses measured and between cellular and humoral responses for the three virus responses: CMV among the CMV-positive individuals (A), influenza (B) and SARS-CoV2 (C). Spearman correlation coefficient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s-ES" w:bidi="ar-SA"/>
        </w:rPr>
        <w:t xml:space="preserve">s and p values are shown.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es-ES" w:bidi="ar-SA"/>
        </w:rPr>
        <w:t>n.s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val="en-US" w:eastAsia="es-ES" w:bidi="ar-SA"/>
        </w:rPr>
        <w:t>. = no significative.</w:t>
      </w:r>
    </w:p>
    <w:p w:rsidR="004D4A71" w:rsidRPr="009B1E09" w:rsidRDefault="004D4A71">
      <w:pPr>
        <w:suppressAutoHyphens w:val="0"/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val="en-GB" w:eastAsia="es-ES" w:bidi="ar-SA"/>
        </w:rPr>
      </w:pPr>
    </w:p>
    <w:p w:rsidR="004D4A71" w:rsidRPr="00694827" w:rsidRDefault="009B1E09">
      <w:pPr>
        <w:suppressAutoHyphens w:val="0"/>
        <w:spacing w:line="480" w:lineRule="auto"/>
        <w:rPr>
          <w:rFonts w:hint="eastAsia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es-ES" w:bidi="ar-SA"/>
        </w:rPr>
        <w:t xml:space="preserve">Supplementary Figure </w:t>
      </w:r>
      <w:r w:rsidR="00694827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es-ES" w:bidi="ar-SA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es-ES" w:bidi="ar-S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s-ES" w:bidi="ar-SA"/>
        </w:rPr>
        <w:t>Comparison of the different cellular and humoral responses anti-SARS-CoV2 measured between patients with and without altered D-dimer (up) and NT-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es-ES" w:bidi="ar-SA"/>
        </w:rPr>
        <w:t>proBNT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val="en-US" w:eastAsia="es-ES" w:bidi="ar-SA"/>
        </w:rPr>
        <w:t xml:space="preserve"> (down).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lang w:val="en-US" w:eastAsia="es-ES" w:bidi="ar-SA"/>
        </w:rPr>
        <w:t>Statitiscal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lang w:val="en-US" w:eastAsia="es-ES" w:bidi="ar-SA"/>
        </w:rPr>
        <w:t xml:space="preserve"> test use</w:t>
      </w:r>
      <w:r>
        <w:rPr>
          <w:rFonts w:ascii="Times New Roman" w:eastAsia="Times New Roman" w:hAnsi="Times New Roman" w:cs="Times New Roman"/>
          <w:color w:val="000000"/>
          <w:kern w:val="0"/>
          <w:lang w:val="en-US" w:eastAsia="es-ES" w:bidi="ar-SA"/>
        </w:rPr>
        <w:t xml:space="preserve">d: </w:t>
      </w:r>
      <w:r>
        <w:rPr>
          <w:rFonts w:ascii="Times New Roman" w:eastAsia="Times New Roman" w:hAnsi="Times New Roman" w:cs="Times New Roman"/>
          <w:color w:val="000000"/>
          <w:kern w:val="0"/>
          <w:lang w:val="en-GB" w:eastAsia="es-ES" w:bidi="ar-SA"/>
        </w:rPr>
        <w:t>Mann–Whitney U test,</w:t>
      </w:r>
    </w:p>
    <w:p w:rsidR="004D4A71" w:rsidRPr="009B1E09" w:rsidRDefault="004D4A71">
      <w:pPr>
        <w:suppressAutoHyphens w:val="0"/>
        <w:spacing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en-GB" w:eastAsia="es-ES" w:bidi="ar-SA"/>
        </w:rPr>
      </w:pPr>
    </w:p>
    <w:p w:rsidR="004D4A71" w:rsidRPr="00694827" w:rsidRDefault="009B1E09">
      <w:pPr>
        <w:suppressAutoHyphens w:val="0"/>
        <w:spacing w:line="480" w:lineRule="auto"/>
        <w:jc w:val="both"/>
        <w:rPr>
          <w:rFonts w:hint="eastAsia"/>
          <w:lang w:val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es-ES" w:bidi="ar-SA"/>
        </w:rPr>
        <w:t xml:space="preserve">Supplementary Figure </w:t>
      </w:r>
      <w:r w:rsidR="00694827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es-ES" w:bidi="ar-SA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es-ES" w:bidi="ar-SA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GB" w:eastAsia="es-ES" w:bidi="ar-SA"/>
        </w:rPr>
        <w:t xml:space="preserve"> Characterization of anti-CMV memory responses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es-ES" w:bidi="ar-SA"/>
        </w:rPr>
        <w:t xml:space="preserve">(A) </w:t>
      </w:r>
      <w:r>
        <w:rPr>
          <w:rFonts w:ascii="Times New Roman" w:eastAsia="Times New Roman" w:hAnsi="Times New Roman" w:cs="Times New Roman"/>
          <w:color w:val="000000"/>
          <w:kern w:val="0"/>
          <w:lang w:val="en-GB" w:eastAsia="es-ES" w:bidi="ar-SA"/>
        </w:rPr>
        <w:t>T lymphocyte subpopulations distribution of CD4</w:t>
      </w:r>
      <w:r>
        <w:rPr>
          <w:rFonts w:ascii="Times New Roman" w:eastAsia="Times New Roman" w:hAnsi="Times New Roman" w:cs="Times New Roman"/>
          <w:color w:val="000000"/>
          <w:kern w:val="0"/>
          <w:vertAlign w:val="superscript"/>
          <w:lang w:val="en-GB" w:eastAsia="es-ES" w:bidi="ar-SA"/>
        </w:rPr>
        <w:t>+</w:t>
      </w:r>
      <w:r>
        <w:rPr>
          <w:rFonts w:ascii="Times New Roman" w:eastAsia="Times New Roman" w:hAnsi="Times New Roman" w:cs="Times New Roman"/>
          <w:color w:val="000000"/>
          <w:kern w:val="0"/>
          <w:lang w:val="en-GB" w:eastAsia="es-ES" w:bidi="ar-SA"/>
        </w:rPr>
        <w:t xml:space="preserve"> (left) and CD8</w:t>
      </w:r>
      <w:r>
        <w:rPr>
          <w:rFonts w:ascii="Times New Roman" w:eastAsia="Times New Roman" w:hAnsi="Times New Roman" w:cs="Times New Roman"/>
          <w:color w:val="000000"/>
          <w:kern w:val="0"/>
          <w:vertAlign w:val="superscript"/>
          <w:lang w:val="en-GB" w:eastAsia="es-ES" w:bidi="ar-SA"/>
        </w:rPr>
        <w:t>+</w:t>
      </w:r>
      <w:r>
        <w:rPr>
          <w:rFonts w:ascii="Times New Roman" w:eastAsia="Times New Roman" w:hAnsi="Times New Roman" w:cs="Times New Roman"/>
          <w:color w:val="000000"/>
          <w:kern w:val="0"/>
          <w:lang w:val="en-GB" w:eastAsia="es-ES" w:bidi="ar-SA"/>
        </w:rPr>
        <w:t xml:space="preserve"> (right) in CMV seronegative (CMV-) and CMV seropositive (CMV+) individuals. Mann–Whitney test.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en-GB" w:eastAsia="es-ES" w:bidi="ar-SA"/>
        </w:rPr>
        <w:t>(B)</w:t>
      </w:r>
      <w:r>
        <w:rPr>
          <w:rFonts w:ascii="Times New Roman" w:eastAsia="Times New Roman" w:hAnsi="Times New Roman" w:cs="Times New Roman"/>
          <w:color w:val="000000"/>
          <w:kern w:val="0"/>
          <w:lang w:val="en-GB" w:eastAsia="es-ES" w:bidi="ar-SA"/>
        </w:rPr>
        <w:t xml:space="preserve"> Memory CD4</w:t>
      </w:r>
      <w:r>
        <w:rPr>
          <w:rFonts w:ascii="Times New Roman" w:eastAsia="Times New Roman" w:hAnsi="Times New Roman" w:cs="Times New Roman"/>
          <w:color w:val="000000"/>
          <w:kern w:val="0"/>
          <w:vertAlign w:val="superscript"/>
          <w:lang w:val="en-GB" w:eastAsia="es-ES" w:bidi="ar-SA"/>
        </w:rPr>
        <w:t>+</w:t>
      </w:r>
      <w:r>
        <w:rPr>
          <w:rFonts w:ascii="Times New Roman" w:eastAsia="Times New Roman" w:hAnsi="Times New Roman" w:cs="Times New Roman"/>
          <w:color w:val="000000"/>
          <w:kern w:val="0"/>
          <w:lang w:val="en-GB" w:eastAsia="es-ES" w:bidi="ar-SA"/>
        </w:rPr>
        <w:t xml:space="preserve"> T lymphocyte functional subpopulations distribution in CMV seronegative (CMV-) and CMV seropositive (CMV+) individuals.  Student’s t-test.</w:t>
      </w:r>
    </w:p>
    <w:p w:rsidR="004D4A71" w:rsidRPr="00694827" w:rsidRDefault="009B1E09">
      <w:pPr>
        <w:suppressAutoHyphens w:val="0"/>
        <w:spacing w:line="480" w:lineRule="auto"/>
        <w:jc w:val="both"/>
        <w:rPr>
          <w:rFonts w:hint="eastAsia"/>
          <w:lang w:val="en-GB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en-GB" w:eastAsia="es-ES" w:bidi="ar-SA"/>
        </w:rPr>
        <w:t>* sta</w:t>
      </w:r>
      <w:r>
        <w:rPr>
          <w:rFonts w:ascii="Times New Roman" w:eastAsia="Times New Roman" w:hAnsi="Times New Roman" w:cs="Times New Roman"/>
          <w:color w:val="000000"/>
          <w:kern w:val="0"/>
          <w:lang w:val="en-GB" w:eastAsia="es-ES" w:bidi="ar-SA"/>
        </w:rPr>
        <w:t>tistically significant differences (p&lt;0.05)</w:t>
      </w:r>
    </w:p>
    <w:p w:rsidR="004D4A71" w:rsidRDefault="009B1E09" w:rsidP="009B1E09">
      <w:pPr>
        <w:suppressAutoHyphens w:val="0"/>
        <w:spacing w:line="480" w:lineRule="auto"/>
        <w:jc w:val="both"/>
        <w:rPr>
          <w:rFonts w:hint="eastAsia"/>
          <w:lang w:val="en-GB"/>
        </w:rPr>
      </w:pPr>
      <w:r>
        <w:rPr>
          <w:rFonts w:ascii="Times New Roman" w:eastAsia="Times New Roman" w:hAnsi="Times New Roman" w:cs="Times New Roman"/>
          <w:color w:val="000000"/>
          <w:kern w:val="0"/>
          <w:lang w:val="en-GB" w:eastAsia="es-ES" w:bidi="ar-SA"/>
        </w:rPr>
        <w:t>** statistically significant differences (p&lt;0.01)</w:t>
      </w:r>
    </w:p>
    <w:sectPr w:rsidR="004D4A71">
      <w:footerReference w:type="even" r:id="rId6"/>
      <w:footerReference w:type="default" r:id="rId7"/>
      <w:footerReference w:type="first" r:id="rId8"/>
      <w:pgSz w:w="11906" w:h="16838"/>
      <w:pgMar w:top="1417" w:right="1701" w:bottom="1976" w:left="1701" w:header="0" w:footer="141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B1E09">
      <w:pPr>
        <w:rPr>
          <w:rFonts w:hint="eastAsia"/>
        </w:rPr>
      </w:pPr>
      <w:r>
        <w:separator/>
      </w:r>
    </w:p>
  </w:endnote>
  <w:endnote w:type="continuationSeparator" w:id="0">
    <w:p w:rsidR="00000000" w:rsidRDefault="009B1E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A71" w:rsidRDefault="004D4A71">
    <w:pPr>
      <w:pStyle w:val="Piedepgin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A71" w:rsidRDefault="004D4A71">
    <w:pPr>
      <w:pStyle w:val="Piedepgina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A71" w:rsidRDefault="004D4A71">
    <w:pPr>
      <w:pStyle w:val="Piedep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B1E09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9B1E0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A71"/>
    <w:rsid w:val="004D4A71"/>
    <w:rsid w:val="00694827"/>
    <w:rsid w:val="009B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A96F6"/>
  <w15:docId w15:val="{36A66D47-B735-4C5D-818E-40655185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3DF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ceraypie">
    <w:name w:val="Cabecera y pie"/>
    <w:basedOn w:val="Normal"/>
    <w:qFormat/>
    <w:pPr>
      <w:suppressLineNumbers/>
      <w:tabs>
        <w:tab w:val="center" w:pos="4252"/>
        <w:tab w:val="right" w:pos="8504"/>
      </w:tabs>
    </w:pPr>
  </w:style>
  <w:style w:type="paragraph" w:styleId="Piedepgina">
    <w:name w:val="footer"/>
    <w:basedOn w:val="Cabeceraypie"/>
  </w:style>
  <w:style w:type="paragraph" w:customStyle="1" w:styleId="western">
    <w:name w:val="western"/>
    <w:basedOn w:val="Normal"/>
    <w:rsid w:val="00694827"/>
    <w:pPr>
      <w:suppressAutoHyphens w:val="0"/>
      <w:spacing w:before="100" w:beforeAutospacing="1" w:after="142" w:line="276" w:lineRule="auto"/>
    </w:pPr>
    <w:rPr>
      <w:rFonts w:eastAsia="Times New Roman" w:cs="Liberation Serif"/>
      <w:color w:val="000000"/>
      <w:kern w:val="0"/>
      <w:lang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217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Rioseras de Bustos</dc:creator>
  <dc:description/>
  <cp:lastModifiedBy>MONTSERRAT VEGA LOPEZ</cp:lastModifiedBy>
  <cp:revision>11</cp:revision>
  <dcterms:created xsi:type="dcterms:W3CDTF">2024-05-10T10:35:00Z</dcterms:created>
  <dcterms:modified xsi:type="dcterms:W3CDTF">2024-11-08T18:49:00Z</dcterms:modified>
  <dc:language>en-GB</dc:language>
</cp:coreProperties>
</file>