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083AB" w14:textId="77777777" w:rsidR="003048EA" w:rsidRDefault="003048EA" w:rsidP="003048EA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>Supplemental figures</w:t>
      </w:r>
    </w:p>
    <w:p w14:paraId="4FA82950" w14:textId="2484795B" w:rsidR="003048EA" w:rsidRDefault="000F2F27" w:rsidP="003048EA">
      <w:pPr>
        <w:spacing w:line="360" w:lineRule="auto"/>
        <w:jc w:val="both"/>
        <w:rPr>
          <w:b/>
          <w:bCs/>
          <w:lang w:val="en-US"/>
        </w:rPr>
      </w:pP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09304CD0" wp14:editId="3482A1DE">
            <wp:extent cx="5714296" cy="2019300"/>
            <wp:effectExtent l="0" t="0" r="1270" b="0"/>
            <wp:docPr id="855939957" name="Grafik 1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39957" name="Grafik 1" descr="Ein Bild, das Screenshot enthält.&#10;&#10;Automatisch generierte Beschreibu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3"/>
                    <a:stretch/>
                  </pic:blipFill>
                  <pic:spPr bwMode="auto">
                    <a:xfrm>
                      <a:off x="0" y="0"/>
                      <a:ext cx="5732150" cy="2025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5B503" w14:textId="21B0B320" w:rsidR="003048EA" w:rsidRDefault="003048EA" w:rsidP="003048EA">
      <w:pPr>
        <w:pStyle w:val="Beschriftung"/>
        <w:jc w:val="both"/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</w:pP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 xml:space="preserve">Figure </w:t>
      </w:r>
      <w:r w:rsidRPr="00876AD3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S1</w:t>
      </w: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:</w:t>
      </w:r>
      <w:r w:rsidRPr="00EC0C45">
        <w:rPr>
          <w:rFonts w:ascii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Viability of </w:t>
      </w:r>
      <w:r w:rsidR="000F619A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>CTLs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 under IL-2 influence</w:t>
      </w:r>
      <w:r w:rsidRPr="00EC0C45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.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0F1946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Viability of </w:t>
      </w:r>
      <w:r w:rsidR="000F619A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CTLs</w:t>
      </w:r>
      <w:r w:rsidRPr="000F1946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from </w:t>
      </w:r>
      <w:r w:rsidR="00C776DD" w:rsidRP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(A)</w:t>
      </w:r>
      <w:r w:rsidR="00C776DD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0F1946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adult and </w:t>
      </w:r>
      <w:r w:rsidR="00C776DD" w:rsidRP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(</w:t>
      </w:r>
      <w:r w:rsidR="00C776DD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B</w:t>
      </w:r>
      <w:r w:rsidR="00C776DD" w:rsidRP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)</w:t>
      </w:r>
      <w:r w:rsidR="00C776DD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0F1946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elderly mice was assessed under varying IL-2 conditions (100U, 10U, 0U) and after treatment with anti-IL-2 antibodies, with or without IL-15 supplementation.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Data are presented as me</w:t>
      </w:r>
      <w:r w:rsidR="00EB11D8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dian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2B4BCF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percentage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. </w:t>
      </w:r>
      <w:r>
        <w:rPr>
          <w:rFonts w:ascii="Calibri" w:eastAsia="Calibri" w:hAnsi="Calibri" w:cs="Times New Roman"/>
          <w:i w:val="0"/>
          <w:iCs w:val="0"/>
          <w:color w:val="auto"/>
          <w:sz w:val="20"/>
          <w:szCs w:val="20"/>
          <w:lang w:val="en-US"/>
        </w:rPr>
        <w:t xml:space="preserve">Significance levels are indicated as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* p &lt; 0.05, ** p &lt; 0.01, *** p &lt; 0.001 and **** p &lt; 0.0001. 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Sample sizes were 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n = 4-6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per group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.</w:t>
      </w:r>
    </w:p>
    <w:p w14:paraId="6A3DEA7C" w14:textId="77777777" w:rsidR="003048EA" w:rsidRDefault="003048EA" w:rsidP="003048EA">
      <w:pPr>
        <w:rPr>
          <w:lang w:val="en-US"/>
        </w:rPr>
      </w:pPr>
    </w:p>
    <w:p w14:paraId="70DF0446" w14:textId="77777777" w:rsidR="000F619A" w:rsidRDefault="000F619A" w:rsidP="003048EA">
      <w:pPr>
        <w:rPr>
          <w:lang w:val="en-US"/>
        </w:rPr>
      </w:pPr>
    </w:p>
    <w:p w14:paraId="5223E366" w14:textId="77777777" w:rsidR="000F619A" w:rsidRDefault="000F619A" w:rsidP="000F619A">
      <w:pPr>
        <w:rPr>
          <w:lang w:val="en-US"/>
        </w:rPr>
      </w:pPr>
    </w:p>
    <w:p w14:paraId="45D7A4FC" w14:textId="2503A5F9" w:rsidR="000F619A" w:rsidRDefault="000F2F27" w:rsidP="000F619A">
      <w:pPr>
        <w:rPr>
          <w:lang w:val="en-US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180301F9" wp14:editId="79C27800">
            <wp:extent cx="5756910" cy="1976120"/>
            <wp:effectExtent l="0" t="0" r="0" b="0"/>
            <wp:docPr id="309549154" name="Grafik 2" descr="Ein Bild, das Screenshot, Farbigk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49154" name="Grafik 2" descr="Ein Bild, das Screenshot, Farbigkeit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124B8" w14:textId="5D07419C" w:rsidR="000F619A" w:rsidRPr="003048EA" w:rsidRDefault="000F619A" w:rsidP="000F619A">
      <w:pPr>
        <w:pStyle w:val="Beschriftung"/>
        <w:jc w:val="both"/>
        <w:rPr>
          <w:lang w:val="en-US"/>
        </w:rPr>
      </w:pP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 xml:space="preserve">Figure </w:t>
      </w:r>
      <w:r w:rsidRPr="00876AD3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S</w:t>
      </w:r>
      <w:r w:rsidR="0046314C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2</w:t>
      </w: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:</w:t>
      </w:r>
      <w:r w:rsidRPr="00EC0C45">
        <w:rPr>
          <w:rFonts w:ascii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>CD122 expression on CTLs under IL-2 influence</w:t>
      </w:r>
      <w:r w:rsidRPr="00EC0C45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. </w:t>
      </w:r>
      <w:r w:rsidRPr="00C61C19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The figure depicts median fluorescence intensities (MFI) of CD122 expression on 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CTLs</w:t>
      </w:r>
      <w:r w:rsidRPr="00C61C19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from </w:t>
      </w:r>
      <w:r w:rsidR="00691EEA" w:rsidRP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(A)</w:t>
      </w:r>
      <w:r w:rsidR="00691EEA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C61C19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adult and </w:t>
      </w:r>
      <w:r w:rsidR="00691EEA" w:rsidRP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(</w:t>
      </w:r>
      <w:r w:rsid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B</w:t>
      </w:r>
      <w:r w:rsidR="00691EEA" w:rsidRPr="00691EEA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)</w:t>
      </w:r>
      <w:r w:rsidR="00691EEA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C61C19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elderly male and female mic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e</w:t>
      </w:r>
      <w:r w:rsidRPr="00C61C19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, assessed by flow cytometry following stimulation with varying IL-2 concentrations (100U IL-2, 10U IL-2, 0U IL-2) or treatments such as anti-IL-2 and IL-15/anti-IL-2.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Data are presented as </w:t>
      </w:r>
      <w:r w:rsidR="00015BC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median fluorescence intensity (MFI)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. </w:t>
      </w:r>
      <w:r w:rsidRPr="000F619A">
        <w:rPr>
          <w:rFonts w:ascii="Calibri" w:eastAsia="Calibri" w:hAnsi="Calibri" w:cs="Times New Roman"/>
          <w:i w:val="0"/>
          <w:iCs w:val="0"/>
          <w:color w:val="auto"/>
          <w:sz w:val="20"/>
          <w:szCs w:val="20"/>
          <w:lang w:val="en-US"/>
        </w:rPr>
        <w:t xml:space="preserve">Significance levels are indicated as </w:t>
      </w:r>
      <w:proofErr w:type="gramStart"/>
      <w:r w:rsidRPr="000F619A">
        <w:rPr>
          <w:rFonts w:ascii="Calibri" w:eastAsia="Calibri" w:hAnsi="Calibri" w:cs="Times New Roman"/>
          <w:i w:val="0"/>
          <w:iCs w:val="0"/>
          <w:color w:val="auto"/>
          <w:sz w:val="20"/>
          <w:szCs w:val="20"/>
          <w:lang w:val="en-US"/>
        </w:rPr>
        <w:t>*,#</w:t>
      </w:r>
      <w:proofErr w:type="gramEnd"/>
      <w:r w:rsidRPr="000F619A">
        <w:rPr>
          <w:rFonts w:ascii="Calibri" w:eastAsia="Calibri" w:hAnsi="Calibri" w:cs="Times New Roman"/>
          <w:i w:val="0"/>
          <w:iCs w:val="0"/>
          <w:color w:val="auto"/>
          <w:sz w:val="20"/>
          <w:szCs w:val="20"/>
          <w:lang w:val="en-US"/>
        </w:rPr>
        <w:t xml:space="preserve"> p &lt; 0.05; **,## p &lt; 0.01; ***,### p &lt; 0.001 and ****,#### p &lt; 0.0001. Asterisks (*) denote differences between conditions, and hash marks (#) between sexes. 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Sample sizes were 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n = 4-6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per group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.</w:t>
      </w:r>
    </w:p>
    <w:p w14:paraId="2D1678C5" w14:textId="77777777" w:rsidR="000F619A" w:rsidRDefault="000F619A" w:rsidP="003048EA">
      <w:pPr>
        <w:rPr>
          <w:lang w:val="en-US"/>
        </w:rPr>
      </w:pPr>
    </w:p>
    <w:p w14:paraId="4B4F43B0" w14:textId="77777777" w:rsidR="004E03E2" w:rsidRPr="00FE21DF" w:rsidRDefault="004E03E2" w:rsidP="004E03E2">
      <w:pPr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6E78E99E" wp14:editId="2FA73B60">
            <wp:extent cx="5756910" cy="4057015"/>
            <wp:effectExtent l="0" t="0" r="0" b="0"/>
            <wp:docPr id="701134390" name="Grafik 4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134390" name="Grafik 4" descr="Ein Bild, das Screenshot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496C5" w14:textId="1F4153D5" w:rsidR="004E03E2" w:rsidRDefault="004E03E2" w:rsidP="004E03E2">
      <w:pPr>
        <w:pStyle w:val="Beschriftung"/>
        <w:jc w:val="both"/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</w:pP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 xml:space="preserve">Figure </w:t>
      </w:r>
      <w:r w:rsidRPr="00876AD3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S</w:t>
      </w:r>
      <w:r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3</w:t>
      </w: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:</w:t>
      </w:r>
      <w:r w:rsidRPr="00EC0C45">
        <w:rPr>
          <w:rFonts w:ascii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>Proliferation of CTLs under IL-2 influence</w:t>
      </w:r>
      <w:r w:rsidRPr="00EC0C45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. </w:t>
      </w:r>
      <w:r w:rsidRPr="00EF47C5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The figure shows the proliferation of </w:t>
      </w:r>
      <w:r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>CTLs</w:t>
      </w:r>
      <w:r w:rsidRPr="00EF47C5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 across various IL-2 stimulation conditions. Proliferation was assessed using flow cytometry-based analysis of CFSE dilution, which quantifies the </w:t>
      </w:r>
      <w:r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>quantity</w:t>
      </w:r>
      <w:r w:rsidRPr="00EF47C5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 of cell division. Panels represent data from adult and elderly mice, respectively. Proliferation rates are depicted for different IL-2 concentrations (e.g., 100U IL-2, 10U IL-2, 0U IL-2) and following stimulation with IL-15/anti-IL-2 or anti-IL-2.</w:t>
      </w:r>
      <w:r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Data are presented as mean </w:t>
      </w:r>
      <w:r w:rsidR="0072093B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percentage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± SEM. </w:t>
      </w:r>
      <w:r>
        <w:rPr>
          <w:rFonts w:ascii="Calibri" w:eastAsia="Calibri" w:hAnsi="Calibri" w:cs="Times New Roman"/>
          <w:i w:val="0"/>
          <w:iCs w:val="0"/>
          <w:color w:val="auto"/>
          <w:sz w:val="20"/>
          <w:szCs w:val="20"/>
          <w:lang w:val="en-US"/>
        </w:rPr>
        <w:t xml:space="preserve">Significance levels are indicated as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* p &lt; 0.05, ** p &lt; 0.01, *** p &lt; 0.001 and **** p &lt; 0.0001. 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Sample sizes were 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n = 4-6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per group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.</w:t>
      </w:r>
    </w:p>
    <w:p w14:paraId="6459924E" w14:textId="07D201DD" w:rsidR="003048EA" w:rsidRPr="000271C9" w:rsidRDefault="00621893" w:rsidP="003048EA">
      <w:pPr>
        <w:rPr>
          <w:lang w:val="en-US"/>
        </w:rPr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1E9E2AB8" wp14:editId="3F429E5F">
            <wp:extent cx="5756910" cy="3956685"/>
            <wp:effectExtent l="0" t="0" r="0" b="5715"/>
            <wp:docPr id="679628040" name="Grafik 5" descr="Ein Bild, das Screenshot, Musik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628040" name="Grafik 5" descr="Ein Bild, das Screenshot, Musik, 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5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70D8D" w14:textId="20193A73" w:rsidR="003048EA" w:rsidRDefault="003048EA" w:rsidP="003048EA">
      <w:pPr>
        <w:pStyle w:val="Beschriftung"/>
        <w:jc w:val="both"/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</w:pP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 xml:space="preserve">Figure </w:t>
      </w:r>
      <w:r w:rsidRPr="00876AD3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S</w:t>
      </w:r>
      <w:r w:rsidR="004E03E2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4</w:t>
      </w:r>
      <w:r w:rsidRPr="00EC0C45">
        <w:rPr>
          <w:rFonts w:ascii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:</w:t>
      </w:r>
      <w:r w:rsidRPr="00EC0C45">
        <w:rPr>
          <w:rFonts w:ascii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Subtypes distribution of </w:t>
      </w:r>
      <w:r w:rsidR="009548DD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>CTLs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 under IL-2 influence</w:t>
      </w:r>
      <w:r w:rsidRPr="00EC0C45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. </w:t>
      </w:r>
      <w:r w:rsidRPr="00442731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The figure depicts the distribution of </w:t>
      </w:r>
      <w:r w:rsidR="009548DD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>CTL</w:t>
      </w:r>
      <w:r w:rsidRPr="00442731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 subpopulations across different IL-2 stimulation conditions. </w:t>
      </w:r>
      <w:r w:rsidR="00621893" w:rsidRPr="00621893"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>(A)</w:t>
      </w:r>
      <w:r w:rsidR="00621893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442731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>Subpopulations are represented by columns, categorized based on CD44 and CD62L expression levels, identifying distinct subsets such as naïve (CD44⁻CD62L⁺), central memory (CD44⁺CD62L⁺), effector memory (CD44⁺CD62L⁻), effector (CD44⁺CD62L⁻)</w:t>
      </w:r>
      <w:r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, and double negative </w:t>
      </w:r>
      <w:r w:rsidRPr="00442731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>(CD44⁻CD62L⁻)</w:t>
      </w:r>
      <w:r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442731">
        <w:rPr>
          <w:rFonts w:ascii="Calibri" w:eastAsia="Calibri" w:hAnsi="Calibri" w:cs="Calibri"/>
          <w:bCs/>
          <w:i w:val="0"/>
          <w:iCs w:val="0"/>
          <w:color w:val="auto"/>
          <w:sz w:val="20"/>
          <w:szCs w:val="20"/>
          <w:lang w:val="en-US"/>
        </w:rPr>
        <w:t>T cells.</w:t>
      </w:r>
      <w:r>
        <w:rPr>
          <w:rFonts w:ascii="Calibri" w:eastAsia="Calibri" w:hAnsi="Calibri" w:cs="Calibri"/>
          <w:b/>
          <w:i w:val="0"/>
          <w:iCs w:val="0"/>
          <w:color w:val="auto"/>
          <w:sz w:val="20"/>
          <w:szCs w:val="20"/>
          <w:lang w:val="en-US"/>
        </w:rPr>
        <w:t xml:space="preserve">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Data are presented as mean </w:t>
      </w:r>
      <w:r w:rsidR="00A0056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percentage </w:t>
      </w:r>
      <w:r w:rsidRPr="00EC0C45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± SEM. </w:t>
      </w:r>
      <w:r w:rsidR="00621893" w:rsidRPr="00621893">
        <w:rPr>
          <w:rFonts w:ascii="Calibri" w:eastAsia="Calibri" w:hAnsi="Calibri" w:cs="Calibri"/>
          <w:b/>
          <w:bCs/>
          <w:i w:val="0"/>
          <w:iCs w:val="0"/>
          <w:color w:val="auto"/>
          <w:sz w:val="20"/>
          <w:szCs w:val="20"/>
          <w:lang w:val="en-US"/>
        </w:rPr>
        <w:t>(B)</w:t>
      </w:r>
      <w:r w:rsidR="0062189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8E55A8" w:rsidRPr="008E55A8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Significance (p-values) between central memory (CM), effector memory (EM), naïve, and double negative (DN) was tested in male against female mice. Significant values (p&lt;0.05) are highlighted. No significant differences were found compared to 100U IL-2. 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Sample sizes were 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n = 4-6</w:t>
      </w:r>
      <w:r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 xml:space="preserve"> per group</w:t>
      </w:r>
      <w:r w:rsidRPr="000529E3">
        <w:rPr>
          <w:rFonts w:ascii="Calibri" w:eastAsia="Calibri" w:hAnsi="Calibri" w:cs="Calibri"/>
          <w:i w:val="0"/>
          <w:iCs w:val="0"/>
          <w:color w:val="auto"/>
          <w:sz w:val="20"/>
          <w:szCs w:val="20"/>
          <w:lang w:val="en-US"/>
        </w:rPr>
        <w:t>.</w:t>
      </w:r>
    </w:p>
    <w:p w14:paraId="6304B20D" w14:textId="77777777" w:rsidR="000F619A" w:rsidRDefault="000F619A" w:rsidP="000F619A">
      <w:pPr>
        <w:rPr>
          <w:lang w:val="en-US"/>
        </w:rPr>
      </w:pPr>
    </w:p>
    <w:p w14:paraId="284E482E" w14:textId="77777777" w:rsidR="000F619A" w:rsidRPr="000F619A" w:rsidRDefault="000F619A" w:rsidP="000F619A">
      <w:pPr>
        <w:rPr>
          <w:lang w:val="en-US"/>
        </w:rPr>
      </w:pPr>
    </w:p>
    <w:p w14:paraId="68A652C2" w14:textId="77777777" w:rsidR="003048EA" w:rsidRDefault="003048EA" w:rsidP="003048EA">
      <w:pPr>
        <w:rPr>
          <w:lang w:val="en-US"/>
        </w:rPr>
      </w:pPr>
    </w:p>
    <w:sectPr w:rsidR="003048EA" w:rsidSect="007C440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EA"/>
    <w:rsid w:val="00015BC3"/>
    <w:rsid w:val="00015C4C"/>
    <w:rsid w:val="00020871"/>
    <w:rsid w:val="0002718F"/>
    <w:rsid w:val="00062FBF"/>
    <w:rsid w:val="0009127C"/>
    <w:rsid w:val="000953EC"/>
    <w:rsid w:val="000B1B4D"/>
    <w:rsid w:val="000B79E9"/>
    <w:rsid w:val="000C0104"/>
    <w:rsid w:val="000E7C43"/>
    <w:rsid w:val="000F2F27"/>
    <w:rsid w:val="000F5196"/>
    <w:rsid w:val="000F619A"/>
    <w:rsid w:val="000F693F"/>
    <w:rsid w:val="00106B91"/>
    <w:rsid w:val="00185F04"/>
    <w:rsid w:val="001A37CE"/>
    <w:rsid w:val="001D4F1F"/>
    <w:rsid w:val="001F6A7B"/>
    <w:rsid w:val="0020551B"/>
    <w:rsid w:val="00220048"/>
    <w:rsid w:val="0023022D"/>
    <w:rsid w:val="00234E5D"/>
    <w:rsid w:val="0025478A"/>
    <w:rsid w:val="002704F3"/>
    <w:rsid w:val="00280FE3"/>
    <w:rsid w:val="0028399E"/>
    <w:rsid w:val="002B4BCF"/>
    <w:rsid w:val="002B7861"/>
    <w:rsid w:val="002C4535"/>
    <w:rsid w:val="002D39CC"/>
    <w:rsid w:val="002F124B"/>
    <w:rsid w:val="002F3F26"/>
    <w:rsid w:val="002F4E7C"/>
    <w:rsid w:val="003048EA"/>
    <w:rsid w:val="00305CDE"/>
    <w:rsid w:val="0034703A"/>
    <w:rsid w:val="00356BCD"/>
    <w:rsid w:val="00360245"/>
    <w:rsid w:val="0039117D"/>
    <w:rsid w:val="003A61C0"/>
    <w:rsid w:val="003B2ABB"/>
    <w:rsid w:val="003D02B1"/>
    <w:rsid w:val="003D23EA"/>
    <w:rsid w:val="003D2FC0"/>
    <w:rsid w:val="003E3FD3"/>
    <w:rsid w:val="004478C6"/>
    <w:rsid w:val="00462843"/>
    <w:rsid w:val="0046314C"/>
    <w:rsid w:val="00482D8F"/>
    <w:rsid w:val="004B49C7"/>
    <w:rsid w:val="004E03E2"/>
    <w:rsid w:val="004F5FE8"/>
    <w:rsid w:val="005102A4"/>
    <w:rsid w:val="0051686A"/>
    <w:rsid w:val="005524B5"/>
    <w:rsid w:val="00555536"/>
    <w:rsid w:val="005576E1"/>
    <w:rsid w:val="005835DC"/>
    <w:rsid w:val="005E5BF1"/>
    <w:rsid w:val="005E717F"/>
    <w:rsid w:val="00606D23"/>
    <w:rsid w:val="0062077A"/>
    <w:rsid w:val="00621893"/>
    <w:rsid w:val="00654F71"/>
    <w:rsid w:val="0066468F"/>
    <w:rsid w:val="00671598"/>
    <w:rsid w:val="00691EEA"/>
    <w:rsid w:val="006B6FBB"/>
    <w:rsid w:val="006F0691"/>
    <w:rsid w:val="00717185"/>
    <w:rsid w:val="0072093B"/>
    <w:rsid w:val="00733F88"/>
    <w:rsid w:val="007939F2"/>
    <w:rsid w:val="007C1E5F"/>
    <w:rsid w:val="007C440E"/>
    <w:rsid w:val="007E2294"/>
    <w:rsid w:val="007F7154"/>
    <w:rsid w:val="008237FB"/>
    <w:rsid w:val="00834836"/>
    <w:rsid w:val="008A0CA8"/>
    <w:rsid w:val="008A59E3"/>
    <w:rsid w:val="008D25AF"/>
    <w:rsid w:val="008E55A8"/>
    <w:rsid w:val="008F1833"/>
    <w:rsid w:val="009473F8"/>
    <w:rsid w:val="009548DD"/>
    <w:rsid w:val="009550CA"/>
    <w:rsid w:val="00971CF1"/>
    <w:rsid w:val="009931F9"/>
    <w:rsid w:val="009C7774"/>
    <w:rsid w:val="009E1EDA"/>
    <w:rsid w:val="00A00563"/>
    <w:rsid w:val="00A07BBB"/>
    <w:rsid w:val="00A322A7"/>
    <w:rsid w:val="00A86B23"/>
    <w:rsid w:val="00A8774F"/>
    <w:rsid w:val="00AA7AC9"/>
    <w:rsid w:val="00B10664"/>
    <w:rsid w:val="00B163D6"/>
    <w:rsid w:val="00B74E8D"/>
    <w:rsid w:val="00BA12F1"/>
    <w:rsid w:val="00BF6DCB"/>
    <w:rsid w:val="00C12D25"/>
    <w:rsid w:val="00C776DD"/>
    <w:rsid w:val="00CD37DD"/>
    <w:rsid w:val="00CE0AE9"/>
    <w:rsid w:val="00CE1F61"/>
    <w:rsid w:val="00CF09B4"/>
    <w:rsid w:val="00D17132"/>
    <w:rsid w:val="00D257F2"/>
    <w:rsid w:val="00D53160"/>
    <w:rsid w:val="00D56DDF"/>
    <w:rsid w:val="00D62FA2"/>
    <w:rsid w:val="00D66B48"/>
    <w:rsid w:val="00D824CC"/>
    <w:rsid w:val="00DB1F1C"/>
    <w:rsid w:val="00DC257E"/>
    <w:rsid w:val="00DC2FDB"/>
    <w:rsid w:val="00DD3B9C"/>
    <w:rsid w:val="00DE5479"/>
    <w:rsid w:val="00E02692"/>
    <w:rsid w:val="00E07486"/>
    <w:rsid w:val="00E660BC"/>
    <w:rsid w:val="00E742C6"/>
    <w:rsid w:val="00E75F49"/>
    <w:rsid w:val="00E85913"/>
    <w:rsid w:val="00EA1E38"/>
    <w:rsid w:val="00EA34D8"/>
    <w:rsid w:val="00EB11D8"/>
    <w:rsid w:val="00EC7CBC"/>
    <w:rsid w:val="00EF0BCF"/>
    <w:rsid w:val="00EF4F2C"/>
    <w:rsid w:val="00F34587"/>
    <w:rsid w:val="00F45289"/>
    <w:rsid w:val="00F524FD"/>
    <w:rsid w:val="00F95616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02E957"/>
  <w15:chartTrackingRefBased/>
  <w15:docId w15:val="{9F283392-B666-A945-9CD2-783C38FBB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48E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048E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048E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048E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048E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048E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048E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048E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048E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048E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048E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048E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048E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048E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048EA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048E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048EA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048E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048EA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04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048E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048EA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048E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048EA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048EA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3048EA"/>
    <w:pPr>
      <w:spacing w:after="0" w:line="240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048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04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048EA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3048EA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3048EA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Lis</dc:creator>
  <cp:keywords/>
  <dc:description/>
  <cp:lastModifiedBy>Annette Lis</cp:lastModifiedBy>
  <cp:revision>2</cp:revision>
  <dcterms:created xsi:type="dcterms:W3CDTF">2025-02-13T09:08:00Z</dcterms:created>
  <dcterms:modified xsi:type="dcterms:W3CDTF">2025-02-13T09:08:00Z</dcterms:modified>
</cp:coreProperties>
</file>