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9EA13">
      <w:r>
        <w:rPr>
          <w:rStyle w:val="34"/>
          <w:color w:val="404040"/>
        </w:rPr>
        <w:t xml:space="preserve">Supplementary Table </w:t>
      </w:r>
      <w:r>
        <w:rPr>
          <w:rStyle w:val="34"/>
          <w:rFonts w:hint="eastAsia"/>
          <w:color w:val="404040"/>
          <w:lang w:val="en-US" w:eastAsia="zh-CN"/>
        </w:rPr>
        <w:t>1</w:t>
      </w:r>
      <w:r>
        <w:rPr>
          <w:rStyle w:val="34"/>
          <w:color w:val="404040"/>
        </w:rPr>
        <w:t xml:space="preserve">: </w:t>
      </w:r>
      <w:r>
        <w:t>Demographic and Clinical Characteristics of the Naive T cells and RTEs Analysis Cohort</w:t>
      </w:r>
      <w:r>
        <w:rPr>
          <w:rFonts w:hint="eastAsia"/>
        </w:rPr>
        <w:t>.</w:t>
      </w:r>
    </w:p>
    <w:tbl>
      <w:tblPr>
        <w:tblStyle w:val="14"/>
        <w:tblW w:w="779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4"/>
        <w:gridCol w:w="2119"/>
        <w:gridCol w:w="284"/>
        <w:gridCol w:w="1211"/>
        <w:gridCol w:w="493"/>
        <w:gridCol w:w="284"/>
        <w:gridCol w:w="1840"/>
        <w:gridCol w:w="284"/>
        <w:gridCol w:w="998"/>
      </w:tblGrid>
      <w:tr w14:paraId="05257A5B">
        <w:tc>
          <w:tcPr>
            <w:tcW w:w="2687" w:type="dxa"/>
            <w:gridSpan w:val="3"/>
            <w:tcBorders>
              <w:top w:val="single" w:color="auto" w:sz="4" w:space="0"/>
              <w:left w:val="nil"/>
              <w:bottom w:val="single" w:color="auto" w:sz="4" w:space="0"/>
              <w:right w:val="nil"/>
            </w:tcBorders>
            <w:shd w:val="clear" w:color="auto" w:fill="FFFFFF"/>
            <w:vAlign w:val="center"/>
          </w:tcPr>
          <w:p w14:paraId="5F1E90B3">
            <w:pPr>
              <w:spacing w:before="120" w:after="120"/>
              <w:jc w:val="center"/>
              <w:rPr>
                <w:kern w:val="0"/>
                <w:sz w:val="20"/>
                <w:szCs w:val="20"/>
              </w:rPr>
            </w:pPr>
            <w:r>
              <w:rPr>
                <w:kern w:val="0"/>
                <w:sz w:val="20"/>
                <w:szCs w:val="20"/>
              </w:rPr>
              <w:t>Characteristic</w:t>
            </w:r>
          </w:p>
        </w:tc>
        <w:tc>
          <w:tcPr>
            <w:tcW w:w="1988" w:type="dxa"/>
            <w:gridSpan w:val="3"/>
            <w:tcBorders>
              <w:top w:val="single" w:color="auto" w:sz="4" w:space="0"/>
              <w:left w:val="nil"/>
              <w:bottom w:val="single" w:color="auto" w:sz="4" w:space="0"/>
              <w:right w:val="nil"/>
            </w:tcBorders>
            <w:shd w:val="clear" w:color="auto" w:fill="FFFFFF"/>
            <w:vAlign w:val="center"/>
          </w:tcPr>
          <w:p w14:paraId="3FA2EA8D">
            <w:pPr>
              <w:widowControl/>
              <w:adjustRightInd w:val="0"/>
              <w:snapToGrid w:val="0"/>
              <w:jc w:val="center"/>
              <w:rPr>
                <w:color w:val="000000"/>
                <w:kern w:val="0"/>
                <w:sz w:val="20"/>
                <w:szCs w:val="20"/>
              </w:rPr>
            </w:pPr>
            <w:r>
              <w:rPr>
                <w:color w:val="000000"/>
                <w:kern w:val="0"/>
                <w:sz w:val="20"/>
                <w:szCs w:val="20"/>
              </w:rPr>
              <w:t>CTR</w:t>
            </w:r>
          </w:p>
          <w:p w14:paraId="4F839512">
            <w:pPr>
              <w:widowControl/>
              <w:adjustRightInd w:val="0"/>
              <w:snapToGrid w:val="0"/>
              <w:jc w:val="center"/>
              <w:rPr>
                <w:kern w:val="0"/>
                <w:sz w:val="20"/>
                <w:szCs w:val="20"/>
              </w:rPr>
            </w:pPr>
            <w:r>
              <w:rPr>
                <w:kern w:val="0"/>
                <w:sz w:val="20"/>
                <w:szCs w:val="20"/>
              </w:rPr>
              <w:t>(n = 2</w:t>
            </w:r>
            <w:r>
              <w:rPr>
                <w:rFonts w:hint="eastAsia"/>
                <w:kern w:val="0"/>
                <w:sz w:val="20"/>
                <w:szCs w:val="20"/>
                <w:lang w:val="en-US" w:eastAsia="zh-CN"/>
              </w:rPr>
              <w:t>7</w:t>
            </w:r>
            <w:r>
              <w:rPr>
                <w:kern w:val="0"/>
                <w:sz w:val="20"/>
                <w:szCs w:val="20"/>
              </w:rPr>
              <w:t>)</w:t>
            </w:r>
          </w:p>
        </w:tc>
        <w:tc>
          <w:tcPr>
            <w:tcW w:w="2124" w:type="dxa"/>
            <w:gridSpan w:val="2"/>
            <w:tcBorders>
              <w:top w:val="single" w:color="auto" w:sz="4" w:space="0"/>
              <w:left w:val="nil"/>
              <w:bottom w:val="single" w:color="auto" w:sz="4" w:space="0"/>
              <w:right w:val="nil"/>
            </w:tcBorders>
            <w:shd w:val="clear" w:color="auto" w:fill="FFFFFF"/>
            <w:vAlign w:val="center"/>
          </w:tcPr>
          <w:p w14:paraId="060F2AC4">
            <w:pPr>
              <w:widowControl/>
              <w:adjustRightInd w:val="0"/>
              <w:snapToGrid w:val="0"/>
              <w:jc w:val="center"/>
              <w:rPr>
                <w:color w:val="000000"/>
                <w:kern w:val="0"/>
                <w:sz w:val="20"/>
                <w:szCs w:val="20"/>
              </w:rPr>
            </w:pPr>
            <w:r>
              <w:rPr>
                <w:color w:val="000000"/>
                <w:kern w:val="0"/>
                <w:sz w:val="20"/>
                <w:szCs w:val="20"/>
              </w:rPr>
              <w:t>MG</w:t>
            </w:r>
          </w:p>
          <w:p w14:paraId="06D99E2F">
            <w:pPr>
              <w:widowControl/>
              <w:adjustRightInd w:val="0"/>
              <w:snapToGrid w:val="0"/>
              <w:jc w:val="center"/>
              <w:rPr>
                <w:kern w:val="0"/>
                <w:sz w:val="20"/>
                <w:szCs w:val="20"/>
              </w:rPr>
            </w:pPr>
            <w:r>
              <w:rPr>
                <w:kern w:val="0"/>
                <w:sz w:val="20"/>
                <w:szCs w:val="20"/>
              </w:rPr>
              <w:t xml:space="preserve">(n = </w:t>
            </w:r>
            <w:r>
              <w:rPr>
                <w:rFonts w:hint="eastAsia"/>
                <w:kern w:val="0"/>
                <w:sz w:val="20"/>
                <w:szCs w:val="20"/>
                <w:lang w:val="en-US" w:eastAsia="zh-CN"/>
              </w:rPr>
              <w:t>20</w:t>
            </w:r>
            <w:r>
              <w:rPr>
                <w:kern w:val="0"/>
                <w:sz w:val="20"/>
                <w:szCs w:val="20"/>
              </w:rPr>
              <w:t>)</w:t>
            </w:r>
          </w:p>
        </w:tc>
        <w:tc>
          <w:tcPr>
            <w:tcW w:w="998" w:type="dxa"/>
            <w:tcBorders>
              <w:top w:val="single" w:color="auto" w:sz="4" w:space="0"/>
              <w:left w:val="nil"/>
              <w:bottom w:val="single" w:color="auto" w:sz="4" w:space="0"/>
              <w:right w:val="nil"/>
            </w:tcBorders>
            <w:shd w:val="clear" w:color="auto" w:fill="FFFFFF"/>
            <w:vAlign w:val="center"/>
          </w:tcPr>
          <w:p w14:paraId="4E76F07E">
            <w:pPr>
              <w:widowControl/>
              <w:adjustRightInd w:val="0"/>
              <w:snapToGrid w:val="0"/>
              <w:jc w:val="center"/>
              <w:rPr>
                <w:i/>
                <w:iCs/>
                <w:kern w:val="0"/>
                <w:sz w:val="20"/>
                <w:szCs w:val="20"/>
              </w:rPr>
            </w:pPr>
            <w:r>
              <w:rPr>
                <w:i/>
                <w:iCs/>
                <w:color w:val="000000"/>
                <w:kern w:val="0"/>
                <w:sz w:val="20"/>
                <w:szCs w:val="20"/>
              </w:rPr>
              <w:t>p</w:t>
            </w:r>
          </w:p>
        </w:tc>
      </w:tr>
      <w:tr w14:paraId="7C909CD1">
        <w:tc>
          <w:tcPr>
            <w:tcW w:w="2687" w:type="dxa"/>
            <w:gridSpan w:val="3"/>
            <w:tcBorders>
              <w:top w:val="single" w:color="auto" w:sz="4" w:space="0"/>
              <w:left w:val="nil"/>
              <w:bottom w:val="nil"/>
              <w:right w:val="nil"/>
            </w:tcBorders>
            <w:shd w:val="clear" w:color="auto" w:fill="FFFFFF"/>
          </w:tcPr>
          <w:p w14:paraId="4620B727">
            <w:pPr>
              <w:jc w:val="center"/>
              <w:rPr>
                <w:color w:val="000000"/>
                <w:kern w:val="0"/>
                <w:sz w:val="20"/>
                <w:szCs w:val="20"/>
              </w:rPr>
            </w:pPr>
            <w:r>
              <w:rPr>
                <w:color w:val="000000"/>
                <w:kern w:val="0"/>
                <w:sz w:val="20"/>
                <w:szCs w:val="20"/>
              </w:rPr>
              <w:t>Age, mean, years</w:t>
            </w:r>
          </w:p>
        </w:tc>
        <w:tc>
          <w:tcPr>
            <w:tcW w:w="1988" w:type="dxa"/>
            <w:gridSpan w:val="3"/>
            <w:tcBorders>
              <w:top w:val="single" w:color="auto" w:sz="4" w:space="0"/>
              <w:left w:val="nil"/>
              <w:bottom w:val="nil"/>
              <w:right w:val="nil"/>
            </w:tcBorders>
            <w:shd w:val="clear" w:color="auto" w:fill="FFFFFF"/>
            <w:vAlign w:val="center"/>
          </w:tcPr>
          <w:p w14:paraId="2BA8E340">
            <w:pPr>
              <w:jc w:val="center"/>
              <w:rPr>
                <w:rFonts w:hint="default" w:eastAsia="宋体"/>
                <w:color w:val="000000"/>
                <w:kern w:val="0"/>
                <w:sz w:val="20"/>
                <w:szCs w:val="20"/>
                <w:lang w:val="en-US" w:eastAsia="zh-CN"/>
              </w:rPr>
            </w:pPr>
            <w:r>
              <w:rPr>
                <w:color w:val="000000"/>
                <w:kern w:val="0"/>
                <w:sz w:val="20"/>
                <w:szCs w:val="20"/>
              </w:rPr>
              <w:t>6</w:t>
            </w:r>
            <w:r>
              <w:rPr>
                <w:rFonts w:hint="eastAsia"/>
                <w:color w:val="000000"/>
                <w:kern w:val="0"/>
                <w:sz w:val="20"/>
                <w:szCs w:val="20"/>
                <w:lang w:val="en-US" w:eastAsia="zh-CN"/>
              </w:rPr>
              <w:t>1</w:t>
            </w:r>
            <w:r>
              <w:rPr>
                <w:color w:val="000000"/>
                <w:kern w:val="0"/>
                <w:sz w:val="20"/>
                <w:szCs w:val="20"/>
              </w:rPr>
              <w:t>.</w:t>
            </w:r>
            <w:r>
              <w:rPr>
                <w:rFonts w:hint="eastAsia"/>
                <w:color w:val="000000"/>
                <w:kern w:val="0"/>
                <w:sz w:val="20"/>
                <w:szCs w:val="20"/>
                <w:lang w:val="en-US" w:eastAsia="zh-CN"/>
              </w:rPr>
              <w:t>9</w:t>
            </w:r>
            <w:r>
              <w:rPr>
                <w:color w:val="000000"/>
                <w:kern w:val="0"/>
                <w:sz w:val="20"/>
                <w:szCs w:val="20"/>
              </w:rPr>
              <w:t>3±</w:t>
            </w:r>
            <w:r>
              <w:rPr>
                <w:rFonts w:hint="eastAsia"/>
                <w:color w:val="000000"/>
                <w:kern w:val="0"/>
                <w:sz w:val="20"/>
                <w:szCs w:val="20"/>
                <w:lang w:val="en-US" w:eastAsia="zh-CN"/>
              </w:rPr>
              <w:t>7</w:t>
            </w:r>
            <w:r>
              <w:rPr>
                <w:color w:val="000000"/>
                <w:kern w:val="0"/>
                <w:sz w:val="20"/>
                <w:szCs w:val="20"/>
              </w:rPr>
              <w:t>.</w:t>
            </w:r>
            <w:r>
              <w:rPr>
                <w:rFonts w:hint="eastAsia"/>
                <w:color w:val="000000"/>
                <w:kern w:val="0"/>
                <w:sz w:val="20"/>
                <w:szCs w:val="20"/>
                <w:lang w:val="en-US" w:eastAsia="zh-CN"/>
              </w:rPr>
              <w:t>30</w:t>
            </w:r>
          </w:p>
        </w:tc>
        <w:tc>
          <w:tcPr>
            <w:tcW w:w="2124" w:type="dxa"/>
            <w:gridSpan w:val="2"/>
            <w:tcBorders>
              <w:top w:val="single" w:color="auto" w:sz="4" w:space="0"/>
              <w:left w:val="nil"/>
              <w:bottom w:val="nil"/>
              <w:right w:val="nil"/>
            </w:tcBorders>
            <w:shd w:val="clear" w:color="auto" w:fill="FFFFFF"/>
            <w:vAlign w:val="center"/>
          </w:tcPr>
          <w:p w14:paraId="2E98F3FF">
            <w:pPr>
              <w:jc w:val="center"/>
              <w:rPr>
                <w:rFonts w:hint="default" w:eastAsia="宋体"/>
                <w:color w:val="000000"/>
                <w:kern w:val="0"/>
                <w:sz w:val="20"/>
                <w:szCs w:val="20"/>
                <w:lang w:val="en-US" w:eastAsia="zh-CN"/>
              </w:rPr>
            </w:pPr>
            <w:r>
              <w:rPr>
                <w:color w:val="000000"/>
                <w:kern w:val="0"/>
                <w:sz w:val="20"/>
                <w:szCs w:val="20"/>
              </w:rPr>
              <w:t>62.</w:t>
            </w:r>
            <w:r>
              <w:rPr>
                <w:rFonts w:hint="eastAsia"/>
                <w:color w:val="000000"/>
                <w:kern w:val="0"/>
                <w:sz w:val="20"/>
                <w:szCs w:val="20"/>
                <w:lang w:val="en-US" w:eastAsia="zh-CN"/>
              </w:rPr>
              <w:t>85</w:t>
            </w:r>
            <w:r>
              <w:rPr>
                <w:color w:val="000000"/>
                <w:kern w:val="0"/>
                <w:sz w:val="20"/>
                <w:szCs w:val="20"/>
              </w:rPr>
              <w:t>±</w:t>
            </w:r>
            <w:r>
              <w:rPr>
                <w:rFonts w:hint="eastAsia"/>
                <w:color w:val="000000"/>
                <w:kern w:val="0"/>
                <w:sz w:val="20"/>
                <w:szCs w:val="20"/>
                <w:lang w:val="en-US" w:eastAsia="zh-CN"/>
              </w:rPr>
              <w:t>7.14</w:t>
            </w:r>
          </w:p>
        </w:tc>
        <w:tc>
          <w:tcPr>
            <w:tcW w:w="998" w:type="dxa"/>
            <w:tcBorders>
              <w:top w:val="single" w:color="auto" w:sz="4" w:space="0"/>
              <w:left w:val="nil"/>
              <w:bottom w:val="nil"/>
              <w:right w:val="nil"/>
            </w:tcBorders>
            <w:shd w:val="clear" w:color="auto" w:fill="FFFFFF"/>
            <w:vAlign w:val="center"/>
          </w:tcPr>
          <w:p w14:paraId="6CF667D7">
            <w:pPr>
              <w:widowControl/>
              <w:jc w:val="center"/>
              <w:rPr>
                <w:kern w:val="0"/>
                <w:sz w:val="20"/>
                <w:szCs w:val="20"/>
              </w:rPr>
            </w:pPr>
            <w:r>
              <w:rPr>
                <w:kern w:val="0"/>
                <w:sz w:val="20"/>
                <w:szCs w:val="20"/>
              </w:rPr>
              <w:t>0.</w:t>
            </w:r>
            <w:r>
              <w:rPr>
                <w:rFonts w:hint="eastAsia"/>
                <w:kern w:val="0"/>
                <w:sz w:val="20"/>
                <w:szCs w:val="20"/>
                <w:lang w:val="en-US" w:eastAsia="zh-CN"/>
              </w:rPr>
              <w:t>67</w:t>
            </w:r>
            <w:r>
              <w:rPr>
                <w:color w:val="000000"/>
                <w:kern w:val="0"/>
                <w:sz w:val="20"/>
                <w:szCs w:val="20"/>
                <w:vertAlign w:val="superscript"/>
              </w:rPr>
              <w:t>a</w:t>
            </w:r>
          </w:p>
        </w:tc>
      </w:tr>
      <w:tr w14:paraId="2E6B01C2">
        <w:tc>
          <w:tcPr>
            <w:tcW w:w="3898" w:type="dxa"/>
            <w:gridSpan w:val="4"/>
            <w:tcBorders>
              <w:top w:val="nil"/>
              <w:left w:val="nil"/>
              <w:bottom w:val="nil"/>
              <w:right w:val="nil"/>
            </w:tcBorders>
            <w:shd w:val="clear" w:color="auto" w:fill="FFFFFF"/>
          </w:tcPr>
          <w:p w14:paraId="01CA9850">
            <w:pPr>
              <w:rPr>
                <w:color w:val="000000"/>
                <w:kern w:val="0"/>
                <w:sz w:val="20"/>
                <w:szCs w:val="20"/>
              </w:rPr>
            </w:pPr>
            <w:r>
              <w:rPr>
                <w:color w:val="000000"/>
                <w:kern w:val="0"/>
                <w:sz w:val="20"/>
                <w:szCs w:val="20"/>
              </w:rPr>
              <w:t>Sex, No. (%)</w:t>
            </w:r>
          </w:p>
        </w:tc>
        <w:tc>
          <w:tcPr>
            <w:tcW w:w="3899" w:type="dxa"/>
            <w:gridSpan w:val="5"/>
            <w:tcBorders>
              <w:top w:val="nil"/>
              <w:left w:val="nil"/>
              <w:bottom w:val="nil"/>
              <w:right w:val="nil"/>
            </w:tcBorders>
            <w:shd w:val="clear" w:color="auto" w:fill="FFFFFF"/>
          </w:tcPr>
          <w:p w14:paraId="3EC98343">
            <w:pPr>
              <w:rPr>
                <w:color w:val="000000"/>
                <w:kern w:val="0"/>
                <w:sz w:val="20"/>
                <w:szCs w:val="20"/>
              </w:rPr>
            </w:pPr>
          </w:p>
        </w:tc>
      </w:tr>
      <w:tr w14:paraId="166C15EC">
        <w:tc>
          <w:tcPr>
            <w:tcW w:w="2403" w:type="dxa"/>
            <w:gridSpan w:val="2"/>
            <w:tcBorders>
              <w:top w:val="nil"/>
              <w:left w:val="nil"/>
              <w:bottom w:val="nil"/>
              <w:right w:val="nil"/>
            </w:tcBorders>
            <w:shd w:val="clear" w:color="auto" w:fill="FFFFFF"/>
            <w:vAlign w:val="center"/>
          </w:tcPr>
          <w:p w14:paraId="58E3FDC3">
            <w:pPr>
              <w:adjustRightInd w:val="0"/>
              <w:snapToGrid w:val="0"/>
              <w:jc w:val="center"/>
              <w:rPr>
                <w:kern w:val="0"/>
                <w:sz w:val="20"/>
                <w:szCs w:val="20"/>
              </w:rPr>
            </w:pPr>
            <w:r>
              <w:rPr>
                <w:kern w:val="0"/>
                <w:sz w:val="20"/>
                <w:szCs w:val="20"/>
              </w:rPr>
              <w:t>Male</w:t>
            </w:r>
          </w:p>
        </w:tc>
        <w:tc>
          <w:tcPr>
            <w:tcW w:w="1988" w:type="dxa"/>
            <w:gridSpan w:val="3"/>
            <w:tcBorders>
              <w:top w:val="nil"/>
              <w:left w:val="nil"/>
              <w:bottom w:val="nil"/>
              <w:right w:val="nil"/>
            </w:tcBorders>
            <w:shd w:val="clear" w:color="auto" w:fill="FFFFFF"/>
            <w:vAlign w:val="center"/>
          </w:tcPr>
          <w:p w14:paraId="05B6A623">
            <w:pPr>
              <w:spacing w:after="100" w:afterAutospacing="1"/>
              <w:jc w:val="center"/>
              <w:rPr>
                <w:kern w:val="0"/>
                <w:sz w:val="20"/>
                <w:szCs w:val="20"/>
              </w:rPr>
            </w:pPr>
            <w:r>
              <w:rPr>
                <w:kern w:val="0"/>
                <w:sz w:val="20"/>
                <w:szCs w:val="20"/>
              </w:rPr>
              <w:t xml:space="preserve">       1</w:t>
            </w:r>
            <w:r>
              <w:rPr>
                <w:rFonts w:hint="eastAsia"/>
                <w:kern w:val="0"/>
                <w:sz w:val="20"/>
                <w:szCs w:val="20"/>
                <w:lang w:val="en-US" w:eastAsia="zh-CN"/>
              </w:rPr>
              <w:t>2</w:t>
            </w:r>
            <w:r>
              <w:rPr>
                <w:kern w:val="0"/>
                <w:sz w:val="20"/>
                <w:szCs w:val="20"/>
              </w:rPr>
              <w:t xml:space="preserve"> (</w:t>
            </w:r>
            <w:r>
              <w:rPr>
                <w:rFonts w:hint="eastAsia"/>
                <w:kern w:val="0"/>
                <w:sz w:val="20"/>
                <w:szCs w:val="20"/>
                <w:lang w:val="en-US" w:eastAsia="zh-CN"/>
              </w:rPr>
              <w:t>44</w:t>
            </w:r>
            <w:r>
              <w:rPr>
                <w:kern w:val="0"/>
                <w:sz w:val="20"/>
                <w:szCs w:val="20"/>
              </w:rPr>
              <w:t>.</w:t>
            </w:r>
            <w:r>
              <w:rPr>
                <w:rFonts w:hint="eastAsia"/>
                <w:kern w:val="0"/>
                <w:sz w:val="20"/>
                <w:szCs w:val="20"/>
                <w:lang w:val="en-US" w:eastAsia="zh-CN"/>
              </w:rPr>
              <w:t>4</w:t>
            </w:r>
            <w:r>
              <w:rPr>
                <w:kern w:val="0"/>
                <w:sz w:val="20"/>
                <w:szCs w:val="20"/>
              </w:rPr>
              <w:t>)</w:t>
            </w:r>
          </w:p>
        </w:tc>
        <w:tc>
          <w:tcPr>
            <w:tcW w:w="2124" w:type="dxa"/>
            <w:gridSpan w:val="2"/>
            <w:tcBorders>
              <w:top w:val="nil"/>
              <w:left w:val="nil"/>
              <w:bottom w:val="nil"/>
              <w:right w:val="nil"/>
            </w:tcBorders>
            <w:shd w:val="clear" w:color="auto" w:fill="FFFFFF"/>
            <w:vAlign w:val="center"/>
          </w:tcPr>
          <w:p w14:paraId="0CC278FD">
            <w:pPr>
              <w:spacing w:after="100" w:afterAutospacing="1"/>
              <w:jc w:val="center"/>
              <w:rPr>
                <w:kern w:val="0"/>
                <w:sz w:val="20"/>
                <w:szCs w:val="20"/>
              </w:rPr>
            </w:pPr>
            <w:r>
              <w:rPr>
                <w:kern w:val="0"/>
                <w:sz w:val="20"/>
                <w:szCs w:val="20"/>
              </w:rPr>
              <w:t xml:space="preserve">      10 (5</w:t>
            </w:r>
            <w:r>
              <w:rPr>
                <w:rFonts w:hint="eastAsia"/>
                <w:kern w:val="0"/>
                <w:sz w:val="20"/>
                <w:szCs w:val="20"/>
                <w:lang w:val="en-US" w:eastAsia="zh-CN"/>
              </w:rPr>
              <w:t>0</w:t>
            </w:r>
            <w:r>
              <w:rPr>
                <w:kern w:val="0"/>
                <w:sz w:val="20"/>
                <w:szCs w:val="20"/>
              </w:rPr>
              <w:t>.</w:t>
            </w:r>
            <w:r>
              <w:rPr>
                <w:rFonts w:hint="eastAsia"/>
                <w:kern w:val="0"/>
                <w:sz w:val="20"/>
                <w:szCs w:val="20"/>
                <w:lang w:val="en-US" w:eastAsia="zh-CN"/>
              </w:rPr>
              <w:t>0</w:t>
            </w:r>
            <w:r>
              <w:rPr>
                <w:kern w:val="0"/>
                <w:sz w:val="20"/>
                <w:szCs w:val="20"/>
              </w:rPr>
              <w:t>)</w:t>
            </w:r>
          </w:p>
        </w:tc>
        <w:tc>
          <w:tcPr>
            <w:tcW w:w="1282" w:type="dxa"/>
            <w:gridSpan w:val="2"/>
            <w:vMerge w:val="restart"/>
            <w:tcBorders>
              <w:top w:val="nil"/>
              <w:left w:val="nil"/>
            </w:tcBorders>
            <w:shd w:val="clear" w:color="auto" w:fill="FFFFFF"/>
            <w:vAlign w:val="center"/>
          </w:tcPr>
          <w:p w14:paraId="33EC2597">
            <w:pPr>
              <w:spacing w:after="100" w:afterAutospacing="1"/>
              <w:jc w:val="center"/>
              <w:rPr>
                <w:kern w:val="0"/>
                <w:sz w:val="20"/>
                <w:szCs w:val="20"/>
              </w:rPr>
            </w:pPr>
            <w:r>
              <w:rPr>
                <w:color w:val="000000"/>
                <w:kern w:val="0"/>
                <w:sz w:val="20"/>
                <w:szCs w:val="20"/>
              </w:rPr>
              <w:t xml:space="preserve">    &gt;0.</w:t>
            </w:r>
            <w:r>
              <w:rPr>
                <w:rFonts w:hint="eastAsia"/>
                <w:color w:val="000000"/>
                <w:kern w:val="0"/>
                <w:sz w:val="20"/>
                <w:szCs w:val="20"/>
                <w:lang w:val="en-US" w:eastAsia="zh-CN"/>
              </w:rPr>
              <w:t>77</w:t>
            </w:r>
            <w:r>
              <w:rPr>
                <w:rFonts w:hint="eastAsia"/>
                <w:color w:val="000000"/>
                <w:kern w:val="0"/>
                <w:sz w:val="20"/>
                <w:szCs w:val="20"/>
                <w:vertAlign w:val="superscript"/>
              </w:rPr>
              <w:t>b</w:t>
            </w:r>
          </w:p>
        </w:tc>
      </w:tr>
      <w:tr w14:paraId="2A024270">
        <w:tc>
          <w:tcPr>
            <w:tcW w:w="2403" w:type="dxa"/>
            <w:gridSpan w:val="2"/>
            <w:tcBorders>
              <w:top w:val="nil"/>
              <w:left w:val="nil"/>
              <w:bottom w:val="nil"/>
              <w:right w:val="nil"/>
            </w:tcBorders>
            <w:shd w:val="clear" w:color="auto" w:fill="FFFFFF"/>
            <w:vAlign w:val="center"/>
          </w:tcPr>
          <w:p w14:paraId="5766E30E">
            <w:pPr>
              <w:jc w:val="center"/>
              <w:rPr>
                <w:color w:val="000000"/>
                <w:kern w:val="0"/>
                <w:sz w:val="20"/>
                <w:szCs w:val="20"/>
              </w:rPr>
            </w:pPr>
            <w:r>
              <w:rPr>
                <w:color w:val="000000"/>
                <w:kern w:val="0"/>
                <w:sz w:val="20"/>
                <w:szCs w:val="20"/>
              </w:rPr>
              <w:t xml:space="preserve"> Female</w:t>
            </w:r>
          </w:p>
        </w:tc>
        <w:tc>
          <w:tcPr>
            <w:tcW w:w="1988" w:type="dxa"/>
            <w:gridSpan w:val="3"/>
            <w:tcBorders>
              <w:top w:val="nil"/>
              <w:left w:val="nil"/>
              <w:bottom w:val="nil"/>
              <w:right w:val="nil"/>
            </w:tcBorders>
            <w:shd w:val="clear" w:color="auto" w:fill="FFFFFF"/>
            <w:vAlign w:val="center"/>
          </w:tcPr>
          <w:p w14:paraId="77DE11C5">
            <w:pPr>
              <w:spacing w:after="100" w:afterAutospacing="1"/>
              <w:jc w:val="center"/>
              <w:rPr>
                <w:kern w:val="0"/>
                <w:sz w:val="20"/>
                <w:szCs w:val="20"/>
              </w:rPr>
            </w:pPr>
            <w:r>
              <w:rPr>
                <w:kern w:val="0"/>
                <w:sz w:val="20"/>
                <w:szCs w:val="20"/>
              </w:rPr>
              <w:t xml:space="preserve">       1</w:t>
            </w:r>
            <w:r>
              <w:rPr>
                <w:rFonts w:hint="eastAsia"/>
                <w:kern w:val="0"/>
                <w:sz w:val="20"/>
                <w:szCs w:val="20"/>
                <w:lang w:val="en-US" w:eastAsia="zh-CN"/>
              </w:rPr>
              <w:t>5</w:t>
            </w:r>
            <w:r>
              <w:rPr>
                <w:kern w:val="0"/>
                <w:sz w:val="20"/>
                <w:szCs w:val="20"/>
              </w:rPr>
              <w:t xml:space="preserve"> (</w:t>
            </w:r>
            <w:r>
              <w:rPr>
                <w:rFonts w:hint="eastAsia"/>
                <w:kern w:val="0"/>
                <w:sz w:val="20"/>
                <w:szCs w:val="20"/>
                <w:lang w:val="en-US" w:eastAsia="zh-CN"/>
              </w:rPr>
              <w:t>55</w:t>
            </w:r>
            <w:r>
              <w:rPr>
                <w:kern w:val="0"/>
                <w:sz w:val="20"/>
                <w:szCs w:val="20"/>
              </w:rPr>
              <w:t>.</w:t>
            </w:r>
            <w:r>
              <w:rPr>
                <w:rFonts w:hint="eastAsia"/>
                <w:kern w:val="0"/>
                <w:sz w:val="20"/>
                <w:szCs w:val="20"/>
                <w:lang w:val="en-US" w:eastAsia="zh-CN"/>
              </w:rPr>
              <w:t>6</w:t>
            </w:r>
            <w:r>
              <w:rPr>
                <w:kern w:val="0"/>
                <w:sz w:val="20"/>
                <w:szCs w:val="20"/>
              </w:rPr>
              <w:t>)</w:t>
            </w:r>
          </w:p>
        </w:tc>
        <w:tc>
          <w:tcPr>
            <w:tcW w:w="2124" w:type="dxa"/>
            <w:gridSpan w:val="2"/>
            <w:tcBorders>
              <w:top w:val="nil"/>
              <w:left w:val="nil"/>
              <w:bottom w:val="nil"/>
              <w:right w:val="nil"/>
            </w:tcBorders>
            <w:shd w:val="clear" w:color="auto" w:fill="FFFFFF"/>
            <w:vAlign w:val="center"/>
          </w:tcPr>
          <w:p w14:paraId="1FE12829">
            <w:pPr>
              <w:spacing w:after="100" w:afterAutospacing="1"/>
              <w:jc w:val="center"/>
              <w:rPr>
                <w:kern w:val="0"/>
                <w:sz w:val="20"/>
                <w:szCs w:val="20"/>
              </w:rPr>
            </w:pPr>
            <w:r>
              <w:rPr>
                <w:kern w:val="0"/>
                <w:sz w:val="20"/>
                <w:szCs w:val="20"/>
              </w:rPr>
              <w:t xml:space="preserve">       </w:t>
            </w:r>
            <w:r>
              <w:rPr>
                <w:rFonts w:hint="eastAsia"/>
                <w:kern w:val="0"/>
                <w:sz w:val="20"/>
                <w:szCs w:val="20"/>
                <w:lang w:val="en-US" w:eastAsia="zh-CN"/>
              </w:rPr>
              <w:t>10</w:t>
            </w:r>
            <w:r>
              <w:rPr>
                <w:kern w:val="0"/>
                <w:sz w:val="20"/>
                <w:szCs w:val="20"/>
              </w:rPr>
              <w:t xml:space="preserve"> (</w:t>
            </w:r>
            <w:r>
              <w:rPr>
                <w:rFonts w:hint="eastAsia"/>
                <w:kern w:val="0"/>
                <w:sz w:val="20"/>
                <w:szCs w:val="20"/>
                <w:lang w:val="en-US" w:eastAsia="zh-CN"/>
              </w:rPr>
              <w:t>50</w:t>
            </w:r>
            <w:r>
              <w:rPr>
                <w:kern w:val="0"/>
                <w:sz w:val="20"/>
                <w:szCs w:val="20"/>
              </w:rPr>
              <w:t>.</w:t>
            </w:r>
            <w:r>
              <w:rPr>
                <w:rFonts w:hint="eastAsia"/>
                <w:kern w:val="0"/>
                <w:sz w:val="20"/>
                <w:szCs w:val="20"/>
                <w:lang w:val="en-US" w:eastAsia="zh-CN"/>
              </w:rPr>
              <w:t>0</w:t>
            </w:r>
            <w:r>
              <w:rPr>
                <w:kern w:val="0"/>
                <w:sz w:val="20"/>
                <w:szCs w:val="20"/>
              </w:rPr>
              <w:t>)</w:t>
            </w:r>
          </w:p>
        </w:tc>
        <w:tc>
          <w:tcPr>
            <w:tcW w:w="1282" w:type="dxa"/>
            <w:gridSpan w:val="2"/>
            <w:vMerge w:val="continue"/>
            <w:tcBorders>
              <w:left w:val="nil"/>
              <w:bottom w:val="nil"/>
            </w:tcBorders>
            <w:vAlign w:val="center"/>
          </w:tcPr>
          <w:p w14:paraId="186959C2">
            <w:pPr>
              <w:jc w:val="center"/>
              <w:rPr>
                <w:kern w:val="0"/>
                <w:sz w:val="20"/>
                <w:szCs w:val="20"/>
              </w:rPr>
            </w:pPr>
          </w:p>
        </w:tc>
      </w:tr>
      <w:tr w14:paraId="4E3C3037">
        <w:tc>
          <w:tcPr>
            <w:tcW w:w="7797" w:type="dxa"/>
            <w:gridSpan w:val="9"/>
            <w:tcBorders>
              <w:top w:val="nil"/>
              <w:left w:val="nil"/>
              <w:bottom w:val="nil"/>
              <w:right w:val="nil"/>
            </w:tcBorders>
            <w:shd w:val="clear" w:color="auto" w:fill="FFFFFF"/>
            <w:vAlign w:val="center"/>
          </w:tcPr>
          <w:p w14:paraId="60A1DD2D">
            <w:pPr>
              <w:spacing w:after="100" w:afterAutospacing="1"/>
              <w:rPr>
                <w:kern w:val="0"/>
                <w:sz w:val="20"/>
                <w:szCs w:val="20"/>
              </w:rPr>
            </w:pPr>
            <w:r>
              <w:rPr>
                <w:color w:val="000000"/>
                <w:kern w:val="0"/>
                <w:sz w:val="20"/>
                <w:szCs w:val="20"/>
              </w:rPr>
              <w:t>Autoantibody profile, No. (%)</w:t>
            </w:r>
          </w:p>
        </w:tc>
      </w:tr>
      <w:tr w14:paraId="32519C87">
        <w:tc>
          <w:tcPr>
            <w:tcW w:w="284" w:type="dxa"/>
            <w:tcBorders>
              <w:top w:val="nil"/>
              <w:left w:val="nil"/>
              <w:bottom w:val="nil"/>
              <w:right w:val="nil"/>
            </w:tcBorders>
            <w:shd w:val="clear" w:color="auto" w:fill="FFFFFF"/>
            <w:vAlign w:val="center"/>
          </w:tcPr>
          <w:p w14:paraId="7F2A2AE9">
            <w:pPr>
              <w:jc w:val="center"/>
              <w:rPr>
                <w:color w:val="000000"/>
                <w:kern w:val="0"/>
                <w:sz w:val="20"/>
                <w:szCs w:val="20"/>
              </w:rPr>
            </w:pPr>
          </w:p>
        </w:tc>
        <w:tc>
          <w:tcPr>
            <w:tcW w:w="2403" w:type="dxa"/>
            <w:gridSpan w:val="2"/>
            <w:tcBorders>
              <w:top w:val="nil"/>
              <w:left w:val="nil"/>
              <w:bottom w:val="nil"/>
              <w:right w:val="nil"/>
            </w:tcBorders>
            <w:shd w:val="clear" w:color="auto" w:fill="FFFFFF"/>
            <w:vAlign w:val="center"/>
          </w:tcPr>
          <w:p w14:paraId="0BC083CF">
            <w:pPr>
              <w:widowControl/>
              <w:adjustRightInd w:val="0"/>
              <w:snapToGrid w:val="0"/>
              <w:jc w:val="center"/>
              <w:rPr>
                <w:kern w:val="0"/>
                <w:sz w:val="20"/>
                <w:szCs w:val="20"/>
              </w:rPr>
            </w:pPr>
            <w:r>
              <w:rPr>
                <w:kern w:val="0"/>
                <w:sz w:val="20"/>
                <w:szCs w:val="20"/>
              </w:rPr>
              <w:t>AChR (%)</w:t>
            </w:r>
          </w:p>
        </w:tc>
        <w:tc>
          <w:tcPr>
            <w:tcW w:w="1988" w:type="dxa"/>
            <w:gridSpan w:val="3"/>
            <w:tcBorders>
              <w:top w:val="nil"/>
              <w:left w:val="nil"/>
              <w:bottom w:val="nil"/>
              <w:right w:val="nil"/>
            </w:tcBorders>
            <w:shd w:val="clear" w:color="auto" w:fill="FFFFFF"/>
            <w:vAlign w:val="center"/>
          </w:tcPr>
          <w:p w14:paraId="506EFD56">
            <w:pPr>
              <w:spacing w:after="100" w:afterAutospacing="1"/>
              <w:jc w:val="center"/>
              <w:rPr>
                <w:kern w:val="0"/>
                <w:sz w:val="20"/>
                <w:szCs w:val="20"/>
              </w:rPr>
            </w:pPr>
            <w:r>
              <w:rPr>
                <w:kern w:val="0"/>
                <w:sz w:val="20"/>
                <w:szCs w:val="20"/>
              </w:rPr>
              <w:t>–</w:t>
            </w:r>
          </w:p>
        </w:tc>
        <w:tc>
          <w:tcPr>
            <w:tcW w:w="2124" w:type="dxa"/>
            <w:gridSpan w:val="2"/>
            <w:tcBorders>
              <w:top w:val="nil"/>
              <w:left w:val="nil"/>
              <w:bottom w:val="nil"/>
              <w:right w:val="nil"/>
            </w:tcBorders>
            <w:shd w:val="clear" w:color="auto" w:fill="FFFFFF"/>
            <w:vAlign w:val="center"/>
          </w:tcPr>
          <w:p w14:paraId="342F71DF">
            <w:pPr>
              <w:spacing w:after="100" w:afterAutospacing="1"/>
              <w:jc w:val="center"/>
              <w:rPr>
                <w:kern w:val="0"/>
                <w:sz w:val="20"/>
                <w:szCs w:val="20"/>
              </w:rPr>
            </w:pPr>
            <w:r>
              <w:rPr>
                <w:rFonts w:hint="eastAsia"/>
                <w:kern w:val="0"/>
                <w:sz w:val="20"/>
                <w:szCs w:val="20"/>
                <w:lang w:val="en-US" w:eastAsia="zh-CN"/>
              </w:rPr>
              <w:t>20</w:t>
            </w:r>
            <w:r>
              <w:rPr>
                <w:kern w:val="0"/>
                <w:sz w:val="20"/>
                <w:szCs w:val="20"/>
              </w:rPr>
              <w:t xml:space="preserve"> (100)</w:t>
            </w:r>
          </w:p>
        </w:tc>
        <w:tc>
          <w:tcPr>
            <w:tcW w:w="998" w:type="dxa"/>
            <w:tcBorders>
              <w:top w:val="nil"/>
              <w:left w:val="nil"/>
              <w:bottom w:val="nil"/>
              <w:right w:val="nil"/>
            </w:tcBorders>
            <w:shd w:val="clear" w:color="auto" w:fill="FFFFFF"/>
            <w:vAlign w:val="center"/>
          </w:tcPr>
          <w:p w14:paraId="073E3CE1">
            <w:pPr>
              <w:spacing w:after="100" w:afterAutospacing="1"/>
              <w:jc w:val="center"/>
              <w:rPr>
                <w:kern w:val="0"/>
                <w:sz w:val="20"/>
                <w:szCs w:val="20"/>
              </w:rPr>
            </w:pPr>
            <w:r>
              <w:rPr>
                <w:kern w:val="0"/>
                <w:sz w:val="20"/>
                <w:szCs w:val="20"/>
              </w:rPr>
              <w:t>–</w:t>
            </w:r>
          </w:p>
        </w:tc>
      </w:tr>
      <w:tr w14:paraId="2FBF2B6F">
        <w:tc>
          <w:tcPr>
            <w:tcW w:w="2687" w:type="dxa"/>
            <w:gridSpan w:val="3"/>
            <w:tcBorders>
              <w:top w:val="nil"/>
              <w:left w:val="nil"/>
              <w:bottom w:val="nil"/>
              <w:right w:val="nil"/>
            </w:tcBorders>
            <w:shd w:val="clear" w:color="auto" w:fill="FFFFFF"/>
            <w:vAlign w:val="center"/>
          </w:tcPr>
          <w:p w14:paraId="5FD40616">
            <w:pPr>
              <w:jc w:val="center"/>
              <w:rPr>
                <w:color w:val="000000"/>
                <w:kern w:val="0"/>
                <w:sz w:val="20"/>
                <w:szCs w:val="20"/>
              </w:rPr>
            </w:pPr>
            <w:r>
              <w:rPr>
                <w:color w:val="000000"/>
                <w:kern w:val="0"/>
                <w:sz w:val="20"/>
                <w:szCs w:val="20"/>
              </w:rPr>
              <w:t>LOMG, No. (%)</w:t>
            </w:r>
          </w:p>
        </w:tc>
        <w:tc>
          <w:tcPr>
            <w:tcW w:w="1988" w:type="dxa"/>
            <w:gridSpan w:val="3"/>
            <w:tcBorders>
              <w:top w:val="nil"/>
              <w:left w:val="nil"/>
              <w:bottom w:val="nil"/>
              <w:right w:val="nil"/>
            </w:tcBorders>
            <w:shd w:val="clear" w:color="auto" w:fill="FFFFFF"/>
            <w:vAlign w:val="center"/>
          </w:tcPr>
          <w:p w14:paraId="7A364D5E">
            <w:pPr>
              <w:jc w:val="center"/>
              <w:rPr>
                <w:color w:val="000000"/>
                <w:kern w:val="0"/>
                <w:sz w:val="20"/>
                <w:szCs w:val="20"/>
              </w:rPr>
            </w:pPr>
            <w:r>
              <w:rPr>
                <w:color w:val="000000"/>
                <w:kern w:val="0"/>
                <w:sz w:val="20"/>
                <w:szCs w:val="20"/>
              </w:rPr>
              <w:t>–</w:t>
            </w:r>
          </w:p>
        </w:tc>
        <w:tc>
          <w:tcPr>
            <w:tcW w:w="2124" w:type="dxa"/>
            <w:gridSpan w:val="2"/>
            <w:tcBorders>
              <w:top w:val="nil"/>
              <w:left w:val="nil"/>
              <w:bottom w:val="nil"/>
              <w:right w:val="nil"/>
            </w:tcBorders>
            <w:shd w:val="clear" w:color="auto" w:fill="FFFFFF"/>
            <w:vAlign w:val="center"/>
          </w:tcPr>
          <w:p w14:paraId="48F9F21A">
            <w:pPr>
              <w:jc w:val="center"/>
              <w:rPr>
                <w:color w:val="000000"/>
                <w:kern w:val="0"/>
                <w:sz w:val="20"/>
                <w:szCs w:val="20"/>
              </w:rPr>
            </w:pPr>
            <w:r>
              <w:rPr>
                <w:rFonts w:hint="eastAsia"/>
                <w:color w:val="000000"/>
                <w:kern w:val="0"/>
                <w:sz w:val="20"/>
                <w:szCs w:val="20"/>
                <w:lang w:val="en-US" w:eastAsia="zh-CN"/>
              </w:rPr>
              <w:t>20</w:t>
            </w:r>
            <w:r>
              <w:rPr>
                <w:color w:val="000000"/>
                <w:kern w:val="0"/>
                <w:sz w:val="20"/>
                <w:szCs w:val="20"/>
              </w:rPr>
              <w:t xml:space="preserve"> (100)</w:t>
            </w:r>
          </w:p>
        </w:tc>
        <w:tc>
          <w:tcPr>
            <w:tcW w:w="998" w:type="dxa"/>
            <w:tcBorders>
              <w:top w:val="nil"/>
              <w:left w:val="nil"/>
              <w:bottom w:val="nil"/>
              <w:right w:val="nil"/>
            </w:tcBorders>
            <w:shd w:val="clear" w:color="auto" w:fill="FFFFFF"/>
            <w:vAlign w:val="center"/>
          </w:tcPr>
          <w:p w14:paraId="0EA85574">
            <w:pPr>
              <w:jc w:val="center"/>
              <w:rPr>
                <w:color w:val="000000"/>
                <w:kern w:val="0"/>
                <w:sz w:val="20"/>
                <w:szCs w:val="20"/>
              </w:rPr>
            </w:pPr>
            <w:r>
              <w:rPr>
                <w:kern w:val="0"/>
                <w:sz w:val="20"/>
                <w:szCs w:val="20"/>
              </w:rPr>
              <w:t>–</w:t>
            </w:r>
          </w:p>
        </w:tc>
      </w:tr>
      <w:tr w14:paraId="74C92C55">
        <w:trPr>
          <w:trHeight w:val="64" w:hRule="atLeast"/>
        </w:trPr>
        <w:tc>
          <w:tcPr>
            <w:tcW w:w="7797" w:type="dxa"/>
            <w:gridSpan w:val="9"/>
            <w:tcBorders>
              <w:top w:val="nil"/>
              <w:left w:val="nil"/>
              <w:bottom w:val="nil"/>
              <w:right w:val="nil"/>
            </w:tcBorders>
            <w:shd w:val="clear" w:color="auto" w:fill="FFFFFF"/>
          </w:tcPr>
          <w:p w14:paraId="1FC9E3BE">
            <w:pPr>
              <w:spacing w:after="100" w:afterAutospacing="1"/>
              <w:rPr>
                <w:kern w:val="0"/>
                <w:sz w:val="20"/>
                <w:szCs w:val="20"/>
              </w:rPr>
            </w:pPr>
            <w:r>
              <w:rPr>
                <w:kern w:val="0"/>
                <w:sz w:val="20"/>
                <w:szCs w:val="20"/>
              </w:rPr>
              <w:t>MGFA class, No. (%)</w:t>
            </w:r>
          </w:p>
        </w:tc>
      </w:tr>
      <w:tr w14:paraId="1842FAB6">
        <w:tc>
          <w:tcPr>
            <w:tcW w:w="284" w:type="dxa"/>
            <w:vMerge w:val="restart"/>
            <w:tcBorders>
              <w:top w:val="nil"/>
              <w:left w:val="nil"/>
              <w:bottom w:val="nil"/>
              <w:right w:val="nil"/>
            </w:tcBorders>
            <w:shd w:val="clear" w:color="auto" w:fill="FFFFFF"/>
          </w:tcPr>
          <w:p w14:paraId="4BFB71DE">
            <w:pPr>
              <w:spacing w:after="100" w:afterAutospacing="1"/>
              <w:jc w:val="center"/>
              <w:rPr>
                <w:kern w:val="0"/>
                <w:sz w:val="20"/>
                <w:szCs w:val="20"/>
              </w:rPr>
            </w:pPr>
          </w:p>
        </w:tc>
        <w:tc>
          <w:tcPr>
            <w:tcW w:w="2403" w:type="dxa"/>
            <w:gridSpan w:val="2"/>
            <w:tcBorders>
              <w:top w:val="nil"/>
              <w:left w:val="nil"/>
              <w:bottom w:val="nil"/>
              <w:right w:val="nil"/>
            </w:tcBorders>
            <w:shd w:val="clear" w:color="auto" w:fill="FFFFFF"/>
          </w:tcPr>
          <w:p w14:paraId="069DAC68">
            <w:pPr>
              <w:spacing w:after="100" w:afterAutospacing="1"/>
              <w:jc w:val="center"/>
              <w:rPr>
                <w:kern w:val="0"/>
                <w:sz w:val="20"/>
                <w:szCs w:val="20"/>
              </w:rPr>
            </w:pPr>
            <w:r>
              <w:rPr>
                <w:kern w:val="0"/>
                <w:sz w:val="20"/>
                <w:szCs w:val="20"/>
              </w:rPr>
              <w:t>MGFA I</w:t>
            </w:r>
          </w:p>
        </w:tc>
        <w:tc>
          <w:tcPr>
            <w:tcW w:w="1988" w:type="dxa"/>
            <w:gridSpan w:val="3"/>
            <w:tcBorders>
              <w:top w:val="nil"/>
              <w:left w:val="nil"/>
              <w:bottom w:val="nil"/>
              <w:right w:val="nil"/>
            </w:tcBorders>
            <w:shd w:val="clear" w:color="auto" w:fill="FFFFFF"/>
            <w:vAlign w:val="center"/>
          </w:tcPr>
          <w:p w14:paraId="15C1A362">
            <w:pPr>
              <w:spacing w:after="100" w:afterAutospacing="1"/>
              <w:jc w:val="center"/>
              <w:rPr>
                <w:kern w:val="0"/>
                <w:sz w:val="20"/>
                <w:szCs w:val="20"/>
              </w:rPr>
            </w:pPr>
            <w:r>
              <w:rPr>
                <w:kern w:val="0"/>
                <w:sz w:val="20"/>
                <w:szCs w:val="20"/>
              </w:rPr>
              <w:t>–</w:t>
            </w:r>
          </w:p>
        </w:tc>
        <w:tc>
          <w:tcPr>
            <w:tcW w:w="2124" w:type="dxa"/>
            <w:gridSpan w:val="2"/>
            <w:tcBorders>
              <w:top w:val="nil"/>
              <w:left w:val="nil"/>
              <w:bottom w:val="nil"/>
              <w:right w:val="nil"/>
            </w:tcBorders>
            <w:shd w:val="clear" w:color="auto" w:fill="FFFFFF"/>
          </w:tcPr>
          <w:p w14:paraId="6D5B22C3">
            <w:pPr>
              <w:spacing w:after="100" w:afterAutospacing="1"/>
              <w:jc w:val="center"/>
              <w:rPr>
                <w:kern w:val="0"/>
                <w:sz w:val="20"/>
                <w:szCs w:val="20"/>
              </w:rPr>
            </w:pPr>
            <w:r>
              <w:rPr>
                <w:rFonts w:hint="eastAsia"/>
                <w:kern w:val="0"/>
                <w:sz w:val="20"/>
                <w:szCs w:val="20"/>
                <w:lang w:val="en-US" w:eastAsia="zh-CN"/>
              </w:rPr>
              <w:t>7</w:t>
            </w:r>
            <w:r>
              <w:rPr>
                <w:kern w:val="0"/>
                <w:sz w:val="20"/>
                <w:szCs w:val="20"/>
              </w:rPr>
              <w:t xml:space="preserve"> (</w:t>
            </w:r>
            <w:r>
              <w:rPr>
                <w:rFonts w:hint="eastAsia"/>
                <w:kern w:val="0"/>
                <w:sz w:val="20"/>
                <w:szCs w:val="20"/>
                <w:lang w:val="en-US" w:eastAsia="zh-CN"/>
              </w:rPr>
              <w:t>35.0</w:t>
            </w:r>
            <w:r>
              <w:rPr>
                <w:kern w:val="0"/>
                <w:sz w:val="20"/>
                <w:szCs w:val="20"/>
              </w:rPr>
              <w:t>)</w:t>
            </w:r>
          </w:p>
        </w:tc>
        <w:tc>
          <w:tcPr>
            <w:tcW w:w="998" w:type="dxa"/>
            <w:vMerge w:val="restart"/>
            <w:tcBorders>
              <w:top w:val="nil"/>
              <w:left w:val="nil"/>
              <w:bottom w:val="single" w:color="auto" w:sz="4" w:space="0"/>
              <w:right w:val="nil"/>
            </w:tcBorders>
            <w:shd w:val="clear" w:color="auto" w:fill="FFFFFF"/>
            <w:vAlign w:val="center"/>
          </w:tcPr>
          <w:p w14:paraId="486CEAAB">
            <w:pPr>
              <w:spacing w:after="100" w:afterAutospacing="1"/>
              <w:jc w:val="center"/>
              <w:rPr>
                <w:kern w:val="0"/>
                <w:sz w:val="20"/>
                <w:szCs w:val="20"/>
              </w:rPr>
            </w:pPr>
            <w:r>
              <w:rPr>
                <w:kern w:val="0"/>
                <w:sz w:val="20"/>
                <w:szCs w:val="20"/>
              </w:rPr>
              <w:t>–</w:t>
            </w:r>
          </w:p>
        </w:tc>
      </w:tr>
      <w:tr w14:paraId="6C20BD52">
        <w:tc>
          <w:tcPr>
            <w:tcW w:w="284" w:type="dxa"/>
            <w:vMerge w:val="continue"/>
            <w:tcBorders>
              <w:top w:val="nil"/>
              <w:left w:val="nil"/>
              <w:bottom w:val="nil"/>
              <w:right w:val="nil"/>
            </w:tcBorders>
            <w:vAlign w:val="center"/>
          </w:tcPr>
          <w:p w14:paraId="114B071A">
            <w:pPr>
              <w:jc w:val="center"/>
              <w:rPr>
                <w:kern w:val="0"/>
                <w:sz w:val="20"/>
                <w:szCs w:val="20"/>
              </w:rPr>
            </w:pPr>
          </w:p>
        </w:tc>
        <w:tc>
          <w:tcPr>
            <w:tcW w:w="2403" w:type="dxa"/>
            <w:gridSpan w:val="2"/>
            <w:tcBorders>
              <w:top w:val="nil"/>
              <w:left w:val="nil"/>
              <w:bottom w:val="nil"/>
              <w:right w:val="nil"/>
            </w:tcBorders>
            <w:shd w:val="clear" w:color="auto" w:fill="FFFFFF"/>
          </w:tcPr>
          <w:p w14:paraId="74BE2BDD">
            <w:pPr>
              <w:spacing w:after="100" w:afterAutospacing="1"/>
              <w:jc w:val="center"/>
              <w:rPr>
                <w:kern w:val="0"/>
                <w:sz w:val="20"/>
                <w:szCs w:val="20"/>
              </w:rPr>
            </w:pPr>
            <w:r>
              <w:rPr>
                <w:kern w:val="0"/>
                <w:sz w:val="20"/>
                <w:szCs w:val="20"/>
              </w:rPr>
              <w:t>MGFA II</w:t>
            </w:r>
          </w:p>
        </w:tc>
        <w:tc>
          <w:tcPr>
            <w:tcW w:w="1988" w:type="dxa"/>
            <w:gridSpan w:val="3"/>
            <w:tcBorders>
              <w:top w:val="nil"/>
              <w:left w:val="nil"/>
              <w:bottom w:val="nil"/>
              <w:right w:val="nil"/>
            </w:tcBorders>
            <w:shd w:val="clear" w:color="auto" w:fill="FFFFFF"/>
            <w:vAlign w:val="center"/>
          </w:tcPr>
          <w:p w14:paraId="2A2BC42B">
            <w:pPr>
              <w:spacing w:after="100" w:afterAutospacing="1"/>
              <w:jc w:val="center"/>
              <w:rPr>
                <w:kern w:val="0"/>
                <w:sz w:val="20"/>
                <w:szCs w:val="20"/>
              </w:rPr>
            </w:pPr>
            <w:r>
              <w:rPr>
                <w:kern w:val="0"/>
                <w:sz w:val="20"/>
                <w:szCs w:val="20"/>
              </w:rPr>
              <w:t>–</w:t>
            </w:r>
          </w:p>
        </w:tc>
        <w:tc>
          <w:tcPr>
            <w:tcW w:w="2124" w:type="dxa"/>
            <w:gridSpan w:val="2"/>
            <w:tcBorders>
              <w:top w:val="nil"/>
              <w:left w:val="nil"/>
              <w:bottom w:val="nil"/>
              <w:right w:val="nil"/>
            </w:tcBorders>
            <w:shd w:val="clear" w:color="auto" w:fill="FFFFFF"/>
          </w:tcPr>
          <w:p w14:paraId="1C9CC25F">
            <w:pPr>
              <w:spacing w:after="100" w:afterAutospacing="1"/>
              <w:jc w:val="center"/>
              <w:rPr>
                <w:kern w:val="0"/>
                <w:sz w:val="20"/>
                <w:szCs w:val="20"/>
              </w:rPr>
            </w:pPr>
            <w:r>
              <w:rPr>
                <w:kern w:val="0"/>
                <w:sz w:val="20"/>
                <w:szCs w:val="20"/>
              </w:rPr>
              <w:t>9 (</w:t>
            </w:r>
            <w:r>
              <w:rPr>
                <w:rFonts w:hint="eastAsia"/>
                <w:kern w:val="0"/>
                <w:sz w:val="20"/>
                <w:szCs w:val="20"/>
                <w:lang w:val="en-US" w:eastAsia="zh-CN"/>
              </w:rPr>
              <w:t>45</w:t>
            </w:r>
            <w:r>
              <w:rPr>
                <w:kern w:val="0"/>
                <w:sz w:val="20"/>
                <w:szCs w:val="20"/>
              </w:rPr>
              <w:t>.0)</w:t>
            </w:r>
          </w:p>
        </w:tc>
        <w:tc>
          <w:tcPr>
            <w:tcW w:w="998" w:type="dxa"/>
            <w:vMerge w:val="continue"/>
            <w:tcBorders>
              <w:top w:val="nil"/>
              <w:left w:val="nil"/>
              <w:bottom w:val="single" w:color="auto" w:sz="4" w:space="0"/>
              <w:right w:val="nil"/>
            </w:tcBorders>
            <w:vAlign w:val="center"/>
          </w:tcPr>
          <w:p w14:paraId="1DAF04B0">
            <w:pPr>
              <w:jc w:val="center"/>
              <w:rPr>
                <w:kern w:val="0"/>
                <w:sz w:val="20"/>
                <w:szCs w:val="20"/>
              </w:rPr>
            </w:pPr>
          </w:p>
        </w:tc>
      </w:tr>
      <w:tr w14:paraId="2C84C41E">
        <w:trPr>
          <w:trHeight w:val="156" w:hRule="atLeast"/>
        </w:trPr>
        <w:tc>
          <w:tcPr>
            <w:tcW w:w="284" w:type="dxa"/>
            <w:vMerge w:val="continue"/>
            <w:tcBorders>
              <w:top w:val="nil"/>
              <w:left w:val="nil"/>
              <w:bottom w:val="nil"/>
              <w:right w:val="nil"/>
            </w:tcBorders>
            <w:vAlign w:val="center"/>
          </w:tcPr>
          <w:p w14:paraId="2B95A685">
            <w:pPr>
              <w:jc w:val="center"/>
              <w:rPr>
                <w:kern w:val="0"/>
                <w:sz w:val="20"/>
                <w:szCs w:val="20"/>
              </w:rPr>
            </w:pPr>
          </w:p>
        </w:tc>
        <w:tc>
          <w:tcPr>
            <w:tcW w:w="2403" w:type="dxa"/>
            <w:gridSpan w:val="2"/>
            <w:tcBorders>
              <w:top w:val="nil"/>
              <w:left w:val="nil"/>
              <w:bottom w:val="nil"/>
              <w:right w:val="nil"/>
            </w:tcBorders>
            <w:shd w:val="clear" w:color="auto" w:fill="FFFFFF"/>
          </w:tcPr>
          <w:p w14:paraId="30A86519">
            <w:pPr>
              <w:spacing w:after="100" w:afterAutospacing="1"/>
              <w:jc w:val="center"/>
              <w:rPr>
                <w:kern w:val="0"/>
                <w:sz w:val="20"/>
                <w:szCs w:val="20"/>
              </w:rPr>
            </w:pPr>
            <w:r>
              <w:rPr>
                <w:kern w:val="0"/>
                <w:sz w:val="20"/>
                <w:szCs w:val="20"/>
              </w:rPr>
              <w:t>MGFA III</w:t>
            </w:r>
          </w:p>
        </w:tc>
        <w:tc>
          <w:tcPr>
            <w:tcW w:w="1988" w:type="dxa"/>
            <w:gridSpan w:val="3"/>
            <w:tcBorders>
              <w:top w:val="nil"/>
              <w:left w:val="nil"/>
              <w:bottom w:val="nil"/>
              <w:right w:val="nil"/>
            </w:tcBorders>
            <w:shd w:val="clear" w:color="auto" w:fill="FFFFFF"/>
            <w:vAlign w:val="center"/>
          </w:tcPr>
          <w:p w14:paraId="16300EE7">
            <w:pPr>
              <w:spacing w:after="100" w:afterAutospacing="1"/>
              <w:jc w:val="center"/>
              <w:rPr>
                <w:kern w:val="0"/>
                <w:sz w:val="20"/>
                <w:szCs w:val="20"/>
              </w:rPr>
            </w:pPr>
            <w:r>
              <w:rPr>
                <w:kern w:val="0"/>
                <w:sz w:val="20"/>
                <w:szCs w:val="20"/>
              </w:rPr>
              <w:t>–</w:t>
            </w:r>
          </w:p>
        </w:tc>
        <w:tc>
          <w:tcPr>
            <w:tcW w:w="2124" w:type="dxa"/>
            <w:gridSpan w:val="2"/>
            <w:tcBorders>
              <w:top w:val="nil"/>
              <w:left w:val="nil"/>
              <w:bottom w:val="nil"/>
              <w:right w:val="nil"/>
            </w:tcBorders>
            <w:shd w:val="clear" w:color="auto" w:fill="FFFFFF"/>
          </w:tcPr>
          <w:p w14:paraId="4A82E4AD">
            <w:pPr>
              <w:spacing w:after="100" w:afterAutospacing="1"/>
              <w:jc w:val="center"/>
              <w:rPr>
                <w:kern w:val="0"/>
                <w:sz w:val="20"/>
                <w:szCs w:val="20"/>
              </w:rPr>
            </w:pPr>
            <w:r>
              <w:rPr>
                <w:rFonts w:hint="eastAsia"/>
                <w:kern w:val="0"/>
                <w:sz w:val="20"/>
                <w:szCs w:val="20"/>
                <w:lang w:val="en-US" w:eastAsia="zh-CN"/>
              </w:rPr>
              <w:t xml:space="preserve">3 </w:t>
            </w:r>
            <w:r>
              <w:rPr>
                <w:kern w:val="0"/>
                <w:sz w:val="20"/>
                <w:szCs w:val="20"/>
              </w:rPr>
              <w:t>(</w:t>
            </w:r>
            <w:r>
              <w:rPr>
                <w:rFonts w:hint="eastAsia"/>
                <w:kern w:val="0"/>
                <w:sz w:val="20"/>
                <w:szCs w:val="20"/>
                <w:lang w:val="en-US" w:eastAsia="zh-CN"/>
              </w:rPr>
              <w:t>1</w:t>
            </w:r>
            <w:r>
              <w:rPr>
                <w:kern w:val="0"/>
                <w:sz w:val="20"/>
                <w:szCs w:val="20"/>
              </w:rPr>
              <w:t>5.</w:t>
            </w:r>
            <w:r>
              <w:rPr>
                <w:rFonts w:hint="eastAsia"/>
                <w:kern w:val="0"/>
                <w:sz w:val="20"/>
                <w:szCs w:val="20"/>
                <w:lang w:val="en-US" w:eastAsia="zh-CN"/>
              </w:rPr>
              <w:t>0</w:t>
            </w:r>
            <w:r>
              <w:rPr>
                <w:kern w:val="0"/>
                <w:sz w:val="20"/>
                <w:szCs w:val="20"/>
              </w:rPr>
              <w:t>)</w:t>
            </w:r>
          </w:p>
        </w:tc>
        <w:tc>
          <w:tcPr>
            <w:tcW w:w="998" w:type="dxa"/>
            <w:vMerge w:val="continue"/>
            <w:tcBorders>
              <w:top w:val="nil"/>
              <w:left w:val="nil"/>
              <w:bottom w:val="single" w:color="auto" w:sz="4" w:space="0"/>
              <w:right w:val="nil"/>
            </w:tcBorders>
            <w:vAlign w:val="center"/>
          </w:tcPr>
          <w:p w14:paraId="6DA713E3">
            <w:pPr>
              <w:jc w:val="center"/>
              <w:rPr>
                <w:kern w:val="0"/>
                <w:sz w:val="20"/>
                <w:szCs w:val="20"/>
              </w:rPr>
            </w:pPr>
          </w:p>
        </w:tc>
      </w:tr>
      <w:tr w14:paraId="0839B5DE">
        <w:trPr>
          <w:trHeight w:val="156" w:hRule="atLeast"/>
        </w:trPr>
        <w:tc>
          <w:tcPr>
            <w:tcW w:w="284" w:type="dxa"/>
            <w:vMerge w:val="continue"/>
            <w:tcBorders>
              <w:top w:val="nil"/>
              <w:left w:val="nil"/>
              <w:bottom w:val="nil"/>
              <w:right w:val="nil"/>
            </w:tcBorders>
            <w:vAlign w:val="center"/>
          </w:tcPr>
          <w:p w14:paraId="46DFE8EE">
            <w:pPr>
              <w:jc w:val="center"/>
              <w:rPr>
                <w:kern w:val="0"/>
                <w:sz w:val="20"/>
                <w:szCs w:val="20"/>
              </w:rPr>
            </w:pPr>
          </w:p>
        </w:tc>
        <w:tc>
          <w:tcPr>
            <w:tcW w:w="2403" w:type="dxa"/>
            <w:gridSpan w:val="2"/>
            <w:tcBorders>
              <w:top w:val="nil"/>
              <w:left w:val="nil"/>
              <w:bottom w:val="nil"/>
              <w:right w:val="nil"/>
            </w:tcBorders>
            <w:shd w:val="clear" w:color="auto" w:fill="FFFFFF"/>
          </w:tcPr>
          <w:p w14:paraId="520B6EB1">
            <w:pPr>
              <w:spacing w:after="100" w:afterAutospacing="1"/>
              <w:jc w:val="center"/>
              <w:rPr>
                <w:kern w:val="0"/>
                <w:sz w:val="20"/>
                <w:szCs w:val="20"/>
              </w:rPr>
            </w:pPr>
            <w:r>
              <w:rPr>
                <w:kern w:val="0"/>
                <w:sz w:val="20"/>
                <w:szCs w:val="20"/>
              </w:rPr>
              <w:t>MGFA IV</w:t>
            </w:r>
          </w:p>
        </w:tc>
        <w:tc>
          <w:tcPr>
            <w:tcW w:w="1988" w:type="dxa"/>
            <w:gridSpan w:val="3"/>
            <w:tcBorders>
              <w:top w:val="nil"/>
              <w:left w:val="nil"/>
              <w:bottom w:val="nil"/>
              <w:right w:val="nil"/>
            </w:tcBorders>
            <w:shd w:val="clear" w:color="auto" w:fill="FFFFFF"/>
          </w:tcPr>
          <w:p w14:paraId="095C2A44">
            <w:pPr>
              <w:spacing w:after="100" w:afterAutospacing="1"/>
              <w:jc w:val="center"/>
              <w:rPr>
                <w:kern w:val="0"/>
                <w:sz w:val="20"/>
                <w:szCs w:val="20"/>
              </w:rPr>
            </w:pPr>
            <w:r>
              <w:rPr>
                <w:kern w:val="0"/>
                <w:sz w:val="20"/>
                <w:szCs w:val="20"/>
              </w:rPr>
              <w:t>–</w:t>
            </w:r>
          </w:p>
        </w:tc>
        <w:tc>
          <w:tcPr>
            <w:tcW w:w="2124" w:type="dxa"/>
            <w:gridSpan w:val="2"/>
            <w:tcBorders>
              <w:top w:val="nil"/>
              <w:left w:val="nil"/>
              <w:bottom w:val="nil"/>
              <w:right w:val="nil"/>
            </w:tcBorders>
            <w:shd w:val="clear" w:color="auto" w:fill="FFFFFF"/>
          </w:tcPr>
          <w:p w14:paraId="4B64459C">
            <w:pPr>
              <w:spacing w:after="100" w:afterAutospacing="1"/>
              <w:jc w:val="center"/>
              <w:rPr>
                <w:kern w:val="0"/>
                <w:sz w:val="20"/>
                <w:szCs w:val="20"/>
              </w:rPr>
            </w:pPr>
            <w:r>
              <w:rPr>
                <w:rFonts w:hint="eastAsia"/>
                <w:kern w:val="0"/>
                <w:sz w:val="20"/>
                <w:szCs w:val="20"/>
                <w:lang w:val="en-US" w:eastAsia="zh-CN"/>
              </w:rPr>
              <w:t>1</w:t>
            </w:r>
            <w:r>
              <w:rPr>
                <w:kern w:val="0"/>
                <w:sz w:val="20"/>
                <w:szCs w:val="20"/>
              </w:rPr>
              <w:t xml:space="preserve"> (</w:t>
            </w:r>
            <w:r>
              <w:rPr>
                <w:rFonts w:hint="eastAsia"/>
                <w:kern w:val="0"/>
                <w:sz w:val="20"/>
                <w:szCs w:val="20"/>
                <w:lang w:val="en-US" w:eastAsia="zh-CN"/>
              </w:rPr>
              <w:t>5</w:t>
            </w:r>
            <w:r>
              <w:rPr>
                <w:kern w:val="0"/>
                <w:sz w:val="20"/>
                <w:szCs w:val="20"/>
              </w:rPr>
              <w:t>)</w:t>
            </w:r>
          </w:p>
        </w:tc>
        <w:tc>
          <w:tcPr>
            <w:tcW w:w="998" w:type="dxa"/>
            <w:vMerge w:val="continue"/>
            <w:tcBorders>
              <w:top w:val="nil"/>
              <w:left w:val="nil"/>
              <w:bottom w:val="single" w:color="auto" w:sz="4" w:space="0"/>
              <w:right w:val="nil"/>
            </w:tcBorders>
            <w:vAlign w:val="center"/>
          </w:tcPr>
          <w:p w14:paraId="3BD58277">
            <w:pPr>
              <w:jc w:val="center"/>
              <w:rPr>
                <w:kern w:val="0"/>
                <w:sz w:val="20"/>
                <w:szCs w:val="20"/>
              </w:rPr>
            </w:pPr>
          </w:p>
        </w:tc>
      </w:tr>
      <w:tr w14:paraId="39F4CBDD">
        <w:trPr>
          <w:trHeight w:val="64" w:hRule="atLeast"/>
        </w:trPr>
        <w:tc>
          <w:tcPr>
            <w:tcW w:w="284" w:type="dxa"/>
            <w:vMerge w:val="continue"/>
            <w:tcBorders>
              <w:top w:val="nil"/>
              <w:left w:val="nil"/>
              <w:bottom w:val="nil"/>
              <w:right w:val="nil"/>
            </w:tcBorders>
            <w:vAlign w:val="center"/>
          </w:tcPr>
          <w:p w14:paraId="5FA3814A">
            <w:pPr>
              <w:jc w:val="center"/>
              <w:rPr>
                <w:kern w:val="0"/>
                <w:sz w:val="20"/>
                <w:szCs w:val="20"/>
              </w:rPr>
            </w:pPr>
          </w:p>
        </w:tc>
        <w:tc>
          <w:tcPr>
            <w:tcW w:w="2403" w:type="dxa"/>
            <w:gridSpan w:val="2"/>
            <w:tcBorders>
              <w:top w:val="nil"/>
              <w:left w:val="nil"/>
              <w:bottom w:val="single" w:color="auto" w:sz="4" w:space="0"/>
              <w:right w:val="nil"/>
            </w:tcBorders>
            <w:shd w:val="clear" w:color="auto" w:fill="FFFFFF"/>
          </w:tcPr>
          <w:p w14:paraId="0E043AC6">
            <w:pPr>
              <w:spacing w:after="100" w:afterAutospacing="1"/>
              <w:jc w:val="center"/>
              <w:rPr>
                <w:kern w:val="0"/>
                <w:sz w:val="20"/>
                <w:szCs w:val="20"/>
              </w:rPr>
            </w:pPr>
            <w:r>
              <w:rPr>
                <w:kern w:val="0"/>
                <w:sz w:val="20"/>
                <w:szCs w:val="20"/>
              </w:rPr>
              <w:t>MGFA V</w:t>
            </w:r>
          </w:p>
        </w:tc>
        <w:tc>
          <w:tcPr>
            <w:tcW w:w="1988" w:type="dxa"/>
            <w:gridSpan w:val="3"/>
            <w:tcBorders>
              <w:top w:val="nil"/>
              <w:left w:val="nil"/>
              <w:bottom w:val="single" w:color="auto" w:sz="4" w:space="0"/>
              <w:right w:val="nil"/>
            </w:tcBorders>
            <w:shd w:val="clear" w:color="auto" w:fill="FFFFFF"/>
            <w:vAlign w:val="center"/>
          </w:tcPr>
          <w:p w14:paraId="5A506C51">
            <w:pPr>
              <w:spacing w:after="100" w:afterAutospacing="1"/>
              <w:jc w:val="center"/>
              <w:rPr>
                <w:kern w:val="0"/>
                <w:sz w:val="20"/>
                <w:szCs w:val="20"/>
              </w:rPr>
            </w:pPr>
            <w:r>
              <w:rPr>
                <w:kern w:val="0"/>
                <w:sz w:val="20"/>
                <w:szCs w:val="20"/>
              </w:rPr>
              <w:t>–</w:t>
            </w:r>
          </w:p>
        </w:tc>
        <w:tc>
          <w:tcPr>
            <w:tcW w:w="2124" w:type="dxa"/>
            <w:gridSpan w:val="2"/>
            <w:tcBorders>
              <w:top w:val="nil"/>
              <w:left w:val="nil"/>
              <w:bottom w:val="single" w:color="auto" w:sz="4" w:space="0"/>
              <w:right w:val="nil"/>
            </w:tcBorders>
            <w:shd w:val="clear" w:color="auto" w:fill="FFFFFF"/>
          </w:tcPr>
          <w:p w14:paraId="36E05A13">
            <w:pPr>
              <w:spacing w:after="100" w:afterAutospacing="1"/>
              <w:jc w:val="center"/>
              <w:rPr>
                <w:kern w:val="0"/>
                <w:sz w:val="20"/>
                <w:szCs w:val="20"/>
              </w:rPr>
            </w:pPr>
            <w:r>
              <w:rPr>
                <w:kern w:val="0"/>
                <w:sz w:val="20"/>
                <w:szCs w:val="20"/>
              </w:rPr>
              <w:t>0 (0)</w:t>
            </w:r>
          </w:p>
        </w:tc>
        <w:tc>
          <w:tcPr>
            <w:tcW w:w="998" w:type="dxa"/>
            <w:vMerge w:val="continue"/>
            <w:tcBorders>
              <w:top w:val="nil"/>
              <w:left w:val="nil"/>
              <w:bottom w:val="single" w:color="auto" w:sz="4" w:space="0"/>
              <w:right w:val="nil"/>
            </w:tcBorders>
            <w:vAlign w:val="center"/>
          </w:tcPr>
          <w:p w14:paraId="30748F69">
            <w:pPr>
              <w:jc w:val="center"/>
              <w:rPr>
                <w:kern w:val="0"/>
                <w:sz w:val="20"/>
                <w:szCs w:val="20"/>
              </w:rPr>
            </w:pPr>
          </w:p>
        </w:tc>
      </w:tr>
    </w:tbl>
    <w:p w14:paraId="5BAD1370">
      <w:pPr>
        <w:ind w:firstLine="300" w:firstLineChars="150"/>
        <w:rPr>
          <w:color w:val="000000"/>
          <w:sz w:val="20"/>
          <w:szCs w:val="20"/>
        </w:rPr>
      </w:pPr>
      <w:r>
        <w:rPr>
          <w:color w:val="000000"/>
          <w:sz w:val="20"/>
          <w:szCs w:val="20"/>
        </w:rPr>
        <w:t>Continuous data are expressed as median (interquartile range, IQR) and dichotomous data as n (%)</w:t>
      </w:r>
      <w:r>
        <w:rPr>
          <w:rFonts w:hint="eastAsia"/>
          <w:color w:val="000000"/>
          <w:sz w:val="20"/>
          <w:szCs w:val="20"/>
        </w:rPr>
        <w:t>.</w:t>
      </w:r>
    </w:p>
    <w:p w14:paraId="061321D0">
      <w:pPr>
        <w:ind w:firstLine="300" w:firstLineChars="150"/>
        <w:rPr>
          <w:color w:val="000000"/>
          <w:sz w:val="20"/>
          <w:szCs w:val="20"/>
        </w:rPr>
      </w:pPr>
      <w:r>
        <w:rPr>
          <w:color w:val="000000"/>
          <w:sz w:val="20"/>
          <w:szCs w:val="20"/>
          <w:vertAlign w:val="superscript"/>
        </w:rPr>
        <w:t>a</w:t>
      </w:r>
      <w:r>
        <w:rPr>
          <w:rFonts w:hint="eastAsia"/>
          <w:color w:val="000000"/>
          <w:sz w:val="20"/>
          <w:szCs w:val="20"/>
          <w:vertAlign w:val="superscript"/>
        </w:rPr>
        <w:t xml:space="preserve"> </w:t>
      </w:r>
      <w:r>
        <w:rPr>
          <w:rFonts w:hint="eastAsia"/>
          <w:color w:val="000000"/>
          <w:sz w:val="20"/>
          <w:szCs w:val="20"/>
        </w:rPr>
        <w:t>Independent-samples t-test</w:t>
      </w:r>
    </w:p>
    <w:p w14:paraId="2FE5B7F9">
      <w:pPr>
        <w:widowControl/>
        <w:ind w:firstLine="300" w:firstLineChars="150"/>
        <w:jc w:val="left"/>
        <w:rPr>
          <w:color w:val="000000"/>
          <w:sz w:val="20"/>
          <w:szCs w:val="20"/>
        </w:rPr>
      </w:pPr>
      <w:r>
        <w:rPr>
          <w:color w:val="000000"/>
          <w:sz w:val="20"/>
          <w:szCs w:val="20"/>
          <w:vertAlign w:val="superscript"/>
        </w:rPr>
        <w:t>b</w:t>
      </w:r>
      <w:r>
        <w:rPr>
          <w:color w:val="000000"/>
          <w:sz w:val="20"/>
          <w:szCs w:val="20"/>
        </w:rPr>
        <w:t xml:space="preserve"> Chi–square test</w:t>
      </w:r>
    </w:p>
    <w:p w14:paraId="7B234512">
      <w:pPr>
        <w:rPr>
          <w:b/>
          <w:bCs/>
          <w:sz w:val="20"/>
          <w:szCs w:val="20"/>
        </w:rPr>
      </w:pPr>
      <w:r>
        <w:rPr>
          <w:b/>
          <w:bCs/>
          <w:sz w:val="20"/>
          <w:szCs w:val="20"/>
        </w:rPr>
        <w:br w:type="page"/>
      </w:r>
    </w:p>
    <w:p w14:paraId="4B7219C7">
      <w:pPr>
        <w:rPr>
          <w:b/>
          <w:bCs/>
          <w:sz w:val="20"/>
          <w:szCs w:val="20"/>
        </w:rPr>
      </w:pPr>
    </w:p>
    <w:p w14:paraId="56B43170">
      <w:pPr>
        <w:rPr>
          <w:b/>
          <w:bCs/>
          <w:color w:val="000000" w:themeColor="text1"/>
          <w14:textFill>
            <w14:solidFill>
              <w14:schemeClr w14:val="tx1"/>
            </w14:solidFill>
          </w14:textFill>
        </w:rPr>
      </w:pPr>
      <w:r>
        <w:rPr>
          <w:b/>
          <w:bCs/>
          <w:sz w:val="20"/>
          <w:szCs w:val="20"/>
        </w:rPr>
        <w:t>Supplementary</w:t>
      </w:r>
      <w:r>
        <w:rPr>
          <w:b/>
          <w:bCs/>
          <w:color w:val="000000" w:themeColor="text1"/>
          <w14:textFill>
            <w14:solidFill>
              <w14:schemeClr w14:val="tx1"/>
            </w14:solidFill>
          </w14:textFill>
        </w:rPr>
        <w:t xml:space="preserve"> Table </w:t>
      </w:r>
      <w:r>
        <w:rPr>
          <w:rFonts w:hint="eastAsia"/>
          <w:b/>
          <w:bCs/>
          <w:color w:val="000000" w:themeColor="text1"/>
          <w:lang w:val="en-US" w:eastAsia="zh-CN"/>
          <w14:textFill>
            <w14:solidFill>
              <w14:schemeClr w14:val="tx1"/>
            </w14:solidFill>
          </w14:textFill>
        </w:rPr>
        <w:t>2</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 xml:space="preserve"> Characteristics of MG patients based on thymic scores.</w:t>
      </w:r>
    </w:p>
    <w:tbl>
      <w:tblPr>
        <w:tblStyle w:val="13"/>
        <w:tblpPr w:leftFromText="180" w:rightFromText="180" w:vertAnchor="text" w:tblpY="1"/>
        <w:tblOverlap w:val="never"/>
        <w:tblW w:w="0" w:type="auto"/>
        <w:tblInd w:w="0" w:type="dxa"/>
        <w:tblLayout w:type="autofit"/>
        <w:tblCellMar>
          <w:top w:w="0" w:type="dxa"/>
          <w:left w:w="108" w:type="dxa"/>
          <w:bottom w:w="0" w:type="dxa"/>
          <w:right w:w="108" w:type="dxa"/>
        </w:tblCellMar>
      </w:tblPr>
      <w:tblGrid>
        <w:gridCol w:w="1903"/>
        <w:gridCol w:w="1963"/>
        <w:gridCol w:w="1643"/>
        <w:gridCol w:w="1963"/>
        <w:gridCol w:w="1843"/>
        <w:gridCol w:w="798"/>
      </w:tblGrid>
      <w:tr w14:paraId="6112BBF7">
        <w:trPr>
          <w:trHeight w:val="283" w:hRule="atLeast"/>
        </w:trPr>
        <w:tc>
          <w:tcPr>
            <w:tcW w:w="0" w:type="auto"/>
            <w:tcBorders>
              <w:top w:val="single" w:color="auto" w:sz="4" w:space="0"/>
              <w:left w:val="nil"/>
              <w:bottom w:val="nil"/>
              <w:right w:val="nil"/>
            </w:tcBorders>
            <w:noWrap/>
            <w:vAlign w:val="center"/>
          </w:tcPr>
          <w:p w14:paraId="59D96D94">
            <w:pPr>
              <w:rPr>
                <w:sz w:val="16"/>
                <w:szCs w:val="16"/>
              </w:rPr>
            </w:pPr>
          </w:p>
        </w:tc>
        <w:tc>
          <w:tcPr>
            <w:tcW w:w="0" w:type="auto"/>
            <w:gridSpan w:val="4"/>
            <w:tcBorders>
              <w:top w:val="single" w:color="auto" w:sz="4" w:space="0"/>
              <w:left w:val="nil"/>
              <w:bottom w:val="nil"/>
              <w:right w:val="nil"/>
            </w:tcBorders>
            <w:noWrap/>
            <w:vAlign w:val="center"/>
          </w:tcPr>
          <w:p w14:paraId="054DA315">
            <w:pPr>
              <w:jc w:val="center"/>
              <w:rPr>
                <w:color w:val="000000"/>
                <w:sz w:val="16"/>
                <w:szCs w:val="16"/>
              </w:rPr>
            </w:pPr>
            <w:r>
              <w:rPr>
                <w:color w:val="000000"/>
                <w:sz w:val="16"/>
                <w:szCs w:val="16"/>
              </w:rPr>
              <w:t>Thymic scores</w:t>
            </w:r>
          </w:p>
        </w:tc>
        <w:tc>
          <w:tcPr>
            <w:tcW w:w="0" w:type="auto"/>
            <w:tcBorders>
              <w:top w:val="single" w:color="auto" w:sz="4" w:space="0"/>
              <w:left w:val="nil"/>
              <w:bottom w:val="nil"/>
              <w:right w:val="nil"/>
            </w:tcBorders>
            <w:noWrap/>
            <w:vAlign w:val="center"/>
          </w:tcPr>
          <w:p w14:paraId="0E7607B7">
            <w:pPr>
              <w:jc w:val="center"/>
              <w:rPr>
                <w:color w:val="000000"/>
                <w:sz w:val="16"/>
                <w:szCs w:val="16"/>
              </w:rPr>
            </w:pPr>
          </w:p>
        </w:tc>
      </w:tr>
      <w:tr w14:paraId="5CEC7440">
        <w:trPr>
          <w:trHeight w:val="283" w:hRule="atLeast"/>
        </w:trPr>
        <w:tc>
          <w:tcPr>
            <w:tcW w:w="0" w:type="auto"/>
            <w:tcBorders>
              <w:top w:val="nil"/>
              <w:left w:val="nil"/>
              <w:bottom w:val="single" w:color="000000" w:sz="4" w:space="0"/>
              <w:right w:val="nil"/>
            </w:tcBorders>
            <w:noWrap/>
            <w:vAlign w:val="center"/>
          </w:tcPr>
          <w:p w14:paraId="26C1CD52">
            <w:pPr>
              <w:jc w:val="center"/>
              <w:rPr>
                <w:rFonts w:eastAsia="Times New Roman"/>
                <w:sz w:val="16"/>
                <w:szCs w:val="16"/>
              </w:rPr>
            </w:pPr>
          </w:p>
        </w:tc>
        <w:tc>
          <w:tcPr>
            <w:tcW w:w="0" w:type="auto"/>
            <w:tcBorders>
              <w:top w:val="single" w:color="000000" w:sz="4" w:space="0"/>
              <w:left w:val="nil"/>
              <w:bottom w:val="single" w:color="000000" w:sz="4" w:space="0"/>
              <w:right w:val="nil"/>
            </w:tcBorders>
            <w:noWrap/>
            <w:vAlign w:val="center"/>
          </w:tcPr>
          <w:p w14:paraId="73EE8D6A">
            <w:pPr>
              <w:jc w:val="center"/>
              <w:rPr>
                <w:color w:val="000000"/>
                <w:sz w:val="16"/>
                <w:szCs w:val="16"/>
              </w:rPr>
            </w:pPr>
            <w:r>
              <w:rPr>
                <w:color w:val="000000"/>
                <w:sz w:val="16"/>
                <w:szCs w:val="16"/>
              </w:rPr>
              <w:t>0 (n= 43)</w:t>
            </w:r>
          </w:p>
        </w:tc>
        <w:tc>
          <w:tcPr>
            <w:tcW w:w="0" w:type="auto"/>
            <w:tcBorders>
              <w:top w:val="single" w:color="000000" w:sz="4" w:space="0"/>
              <w:left w:val="nil"/>
              <w:bottom w:val="single" w:color="000000" w:sz="4" w:space="0"/>
              <w:right w:val="nil"/>
            </w:tcBorders>
            <w:noWrap/>
            <w:vAlign w:val="center"/>
          </w:tcPr>
          <w:p w14:paraId="21B4186A">
            <w:pPr>
              <w:jc w:val="center"/>
              <w:rPr>
                <w:color w:val="000000"/>
                <w:sz w:val="16"/>
                <w:szCs w:val="16"/>
              </w:rPr>
            </w:pPr>
            <w:r>
              <w:rPr>
                <w:color w:val="000000"/>
                <w:sz w:val="16"/>
                <w:szCs w:val="16"/>
              </w:rPr>
              <w:t>1 (n= 13)</w:t>
            </w:r>
          </w:p>
        </w:tc>
        <w:tc>
          <w:tcPr>
            <w:tcW w:w="0" w:type="auto"/>
            <w:tcBorders>
              <w:top w:val="single" w:color="000000" w:sz="4" w:space="0"/>
              <w:left w:val="nil"/>
              <w:bottom w:val="single" w:color="000000" w:sz="4" w:space="0"/>
              <w:right w:val="nil"/>
            </w:tcBorders>
            <w:noWrap/>
            <w:vAlign w:val="center"/>
          </w:tcPr>
          <w:p w14:paraId="15196C8F">
            <w:pPr>
              <w:jc w:val="center"/>
              <w:rPr>
                <w:color w:val="000000"/>
                <w:sz w:val="16"/>
                <w:szCs w:val="16"/>
              </w:rPr>
            </w:pPr>
            <w:r>
              <w:rPr>
                <w:color w:val="000000"/>
                <w:sz w:val="16"/>
                <w:szCs w:val="16"/>
              </w:rPr>
              <w:t>2 (n= 13)</w:t>
            </w:r>
          </w:p>
        </w:tc>
        <w:tc>
          <w:tcPr>
            <w:tcW w:w="0" w:type="auto"/>
            <w:tcBorders>
              <w:top w:val="single" w:color="000000" w:sz="4" w:space="0"/>
              <w:left w:val="nil"/>
              <w:bottom w:val="single" w:color="000000" w:sz="4" w:space="0"/>
              <w:right w:val="nil"/>
            </w:tcBorders>
            <w:noWrap/>
            <w:vAlign w:val="center"/>
          </w:tcPr>
          <w:p w14:paraId="0B665975">
            <w:pPr>
              <w:jc w:val="center"/>
              <w:rPr>
                <w:color w:val="000000"/>
                <w:sz w:val="16"/>
                <w:szCs w:val="16"/>
              </w:rPr>
            </w:pPr>
            <w:r>
              <w:rPr>
                <w:color w:val="000000"/>
                <w:sz w:val="16"/>
                <w:szCs w:val="16"/>
              </w:rPr>
              <w:t>3 (n= 6)</w:t>
            </w:r>
          </w:p>
        </w:tc>
        <w:tc>
          <w:tcPr>
            <w:tcW w:w="0" w:type="auto"/>
            <w:tcBorders>
              <w:top w:val="nil"/>
              <w:left w:val="nil"/>
              <w:bottom w:val="single" w:color="000000" w:sz="4" w:space="0"/>
              <w:right w:val="nil"/>
            </w:tcBorders>
            <w:noWrap/>
            <w:vAlign w:val="center"/>
          </w:tcPr>
          <w:p w14:paraId="7082971F">
            <w:pPr>
              <w:jc w:val="center"/>
              <w:rPr>
                <w:color w:val="000000"/>
                <w:sz w:val="16"/>
                <w:szCs w:val="16"/>
              </w:rPr>
            </w:pPr>
            <w:r>
              <w:rPr>
                <w:i/>
                <w:iCs/>
                <w:color w:val="000000"/>
                <w:sz w:val="16"/>
                <w:szCs w:val="16"/>
              </w:rPr>
              <w:t>p</w:t>
            </w:r>
          </w:p>
        </w:tc>
      </w:tr>
      <w:tr w14:paraId="0B52959C">
        <w:trPr>
          <w:trHeight w:val="283" w:hRule="atLeast"/>
        </w:trPr>
        <w:tc>
          <w:tcPr>
            <w:tcW w:w="0" w:type="auto"/>
            <w:vMerge w:val="restart"/>
            <w:tcBorders>
              <w:top w:val="nil"/>
              <w:left w:val="nil"/>
              <w:right w:val="nil"/>
            </w:tcBorders>
            <w:noWrap/>
            <w:vAlign w:val="center"/>
          </w:tcPr>
          <w:p w14:paraId="76349BFB">
            <w:pPr>
              <w:jc w:val="left"/>
              <w:rPr>
                <w:color w:val="000000"/>
                <w:sz w:val="16"/>
                <w:szCs w:val="16"/>
              </w:rPr>
            </w:pPr>
            <w:r>
              <w:rPr>
                <w:color w:val="000000"/>
                <w:sz w:val="16"/>
                <w:szCs w:val="16"/>
              </w:rPr>
              <w:t>Clinical characteristics</w:t>
            </w:r>
          </w:p>
          <w:p w14:paraId="5B50D921">
            <w:pPr>
              <w:jc w:val="center"/>
              <w:rPr>
                <w:color w:val="000000"/>
                <w:sz w:val="16"/>
                <w:szCs w:val="16"/>
              </w:rPr>
            </w:pPr>
            <w:r>
              <w:rPr>
                <w:color w:val="000000"/>
                <w:sz w:val="16"/>
                <w:szCs w:val="16"/>
              </w:rPr>
              <w:t>Age, y</w:t>
            </w:r>
          </w:p>
          <w:p w14:paraId="47A6A506">
            <w:pPr>
              <w:jc w:val="center"/>
              <w:rPr>
                <w:color w:val="000000"/>
                <w:sz w:val="16"/>
                <w:szCs w:val="16"/>
              </w:rPr>
            </w:pPr>
            <w:r>
              <w:rPr>
                <w:color w:val="000000"/>
                <w:sz w:val="16"/>
                <w:szCs w:val="16"/>
              </w:rPr>
              <w:t>Sex</w:t>
            </w:r>
          </w:p>
          <w:p w14:paraId="5F15AF72">
            <w:pPr>
              <w:jc w:val="center"/>
              <w:rPr>
                <w:color w:val="000000"/>
                <w:sz w:val="16"/>
                <w:szCs w:val="16"/>
              </w:rPr>
            </w:pPr>
            <w:r>
              <w:rPr>
                <w:color w:val="000000"/>
                <w:sz w:val="16"/>
                <w:szCs w:val="16"/>
              </w:rPr>
              <w:t>Male, n (%)</w:t>
            </w:r>
          </w:p>
          <w:p w14:paraId="5DF88134">
            <w:pPr>
              <w:jc w:val="center"/>
              <w:rPr>
                <w:color w:val="000000"/>
                <w:sz w:val="16"/>
                <w:szCs w:val="16"/>
              </w:rPr>
            </w:pPr>
            <w:r>
              <w:rPr>
                <w:color w:val="000000"/>
                <w:sz w:val="16"/>
                <w:szCs w:val="16"/>
              </w:rPr>
              <w:t>BMI</w:t>
            </w:r>
          </w:p>
          <w:p w14:paraId="21818B19">
            <w:pPr>
              <w:jc w:val="center"/>
              <w:rPr>
                <w:color w:val="000000"/>
                <w:sz w:val="16"/>
                <w:szCs w:val="16"/>
              </w:rPr>
            </w:pPr>
            <w:r>
              <w:rPr>
                <w:color w:val="000000"/>
                <w:sz w:val="16"/>
                <w:szCs w:val="16"/>
              </w:rPr>
              <w:t>Diabetes, n (%)</w:t>
            </w:r>
          </w:p>
          <w:p w14:paraId="01C20472">
            <w:pPr>
              <w:jc w:val="left"/>
              <w:rPr>
                <w:color w:val="000000"/>
                <w:sz w:val="16"/>
                <w:szCs w:val="16"/>
              </w:rPr>
            </w:pPr>
            <w:r>
              <w:rPr>
                <w:color w:val="000000"/>
                <w:sz w:val="16"/>
                <w:szCs w:val="16"/>
              </w:rPr>
              <w:t>MG subtype</w:t>
            </w:r>
          </w:p>
          <w:p w14:paraId="0B312C09">
            <w:pPr>
              <w:jc w:val="center"/>
              <w:rPr>
                <w:color w:val="000000"/>
                <w:sz w:val="16"/>
                <w:szCs w:val="16"/>
              </w:rPr>
            </w:pPr>
            <w:r>
              <w:rPr>
                <w:color w:val="000000"/>
                <w:sz w:val="16"/>
                <w:szCs w:val="16"/>
              </w:rPr>
              <w:t>EOMG: LOMG</w:t>
            </w:r>
          </w:p>
          <w:p w14:paraId="78730599">
            <w:pPr>
              <w:jc w:val="left"/>
              <w:rPr>
                <w:color w:val="000000"/>
                <w:sz w:val="16"/>
                <w:szCs w:val="16"/>
              </w:rPr>
            </w:pPr>
            <w:r>
              <w:rPr>
                <w:color w:val="000000"/>
                <w:sz w:val="16"/>
                <w:szCs w:val="16"/>
              </w:rPr>
              <w:t>Clinical chemistry</w:t>
            </w:r>
          </w:p>
          <w:p w14:paraId="6FAAB57B">
            <w:pPr>
              <w:jc w:val="center"/>
              <w:rPr>
                <w:color w:val="000000"/>
                <w:sz w:val="16"/>
                <w:szCs w:val="16"/>
              </w:rPr>
            </w:pPr>
            <w:r>
              <w:rPr>
                <w:color w:val="000000"/>
                <w:sz w:val="16"/>
                <w:szCs w:val="16"/>
              </w:rPr>
              <w:t>HbA1c</w:t>
            </w:r>
          </w:p>
          <w:p w14:paraId="03012ACB">
            <w:pPr>
              <w:jc w:val="center"/>
              <w:rPr>
                <w:color w:val="000000"/>
                <w:sz w:val="16"/>
                <w:szCs w:val="16"/>
              </w:rPr>
            </w:pPr>
            <w:r>
              <w:rPr>
                <w:color w:val="000000"/>
                <w:sz w:val="16"/>
                <w:szCs w:val="16"/>
              </w:rPr>
              <w:t>LDL cholesterol, mmol/L</w:t>
            </w:r>
          </w:p>
          <w:p w14:paraId="5ED37201">
            <w:pPr>
              <w:jc w:val="center"/>
              <w:rPr>
                <w:color w:val="000000"/>
                <w:sz w:val="16"/>
                <w:szCs w:val="16"/>
              </w:rPr>
            </w:pPr>
            <w:r>
              <w:rPr>
                <w:color w:val="000000"/>
                <w:sz w:val="16"/>
                <w:szCs w:val="16"/>
              </w:rPr>
              <w:t>Triglycerides, mmol/L</w:t>
            </w:r>
          </w:p>
          <w:p w14:paraId="70C97C69">
            <w:pPr>
              <w:jc w:val="left"/>
              <w:rPr>
                <w:color w:val="000000"/>
                <w:sz w:val="16"/>
                <w:szCs w:val="16"/>
              </w:rPr>
            </w:pPr>
            <w:r>
              <w:rPr>
                <w:color w:val="000000"/>
                <w:sz w:val="16"/>
                <w:szCs w:val="16"/>
              </w:rPr>
              <w:t>CT features</w:t>
            </w:r>
          </w:p>
          <w:p w14:paraId="7CB6B623">
            <w:pPr>
              <w:jc w:val="center"/>
              <w:rPr>
                <w:color w:val="000000"/>
                <w:sz w:val="16"/>
                <w:szCs w:val="16"/>
              </w:rPr>
            </w:pPr>
            <w:r>
              <w:rPr>
                <w:color w:val="000000"/>
                <w:sz w:val="16"/>
                <w:szCs w:val="16"/>
              </w:rPr>
              <w:t>Thymic volume, mm³</w:t>
            </w:r>
          </w:p>
          <w:p w14:paraId="08764F6F">
            <w:pPr>
              <w:jc w:val="center"/>
              <w:rPr>
                <w:color w:val="000000"/>
                <w:sz w:val="16"/>
                <w:szCs w:val="16"/>
              </w:rPr>
            </w:pPr>
            <w:r>
              <w:rPr>
                <w:color w:val="000000"/>
                <w:sz w:val="16"/>
                <w:szCs w:val="16"/>
              </w:rPr>
              <w:t>Thymic surface area, mm</w:t>
            </w:r>
            <w:r>
              <w:rPr>
                <w:color w:val="000000"/>
                <w:sz w:val="16"/>
                <w:szCs w:val="16"/>
                <w:vertAlign w:val="superscript"/>
              </w:rPr>
              <w:t>2</w:t>
            </w:r>
          </w:p>
          <w:p w14:paraId="3DD20C66">
            <w:pPr>
              <w:jc w:val="center"/>
              <w:rPr>
                <w:color w:val="000000"/>
                <w:sz w:val="16"/>
                <w:szCs w:val="16"/>
              </w:rPr>
            </w:pPr>
            <w:r>
              <w:rPr>
                <w:color w:val="000000"/>
                <w:sz w:val="16"/>
                <w:szCs w:val="16"/>
              </w:rPr>
              <w:t>Surface–to–volume ratio</w:t>
            </w:r>
          </w:p>
          <w:p w14:paraId="3E326BF0">
            <w:pPr>
              <w:jc w:val="center"/>
              <w:rPr>
                <w:color w:val="000000"/>
                <w:sz w:val="16"/>
                <w:szCs w:val="16"/>
              </w:rPr>
            </w:pPr>
            <w:r>
              <w:rPr>
                <w:color w:val="000000"/>
                <w:sz w:val="16"/>
                <w:szCs w:val="16"/>
              </w:rPr>
              <w:t>Gray value</w:t>
            </w:r>
          </w:p>
        </w:tc>
        <w:tc>
          <w:tcPr>
            <w:tcW w:w="0" w:type="auto"/>
            <w:tcBorders>
              <w:top w:val="nil"/>
              <w:left w:val="nil"/>
              <w:bottom w:val="nil"/>
              <w:right w:val="nil"/>
            </w:tcBorders>
            <w:noWrap/>
            <w:vAlign w:val="center"/>
          </w:tcPr>
          <w:p w14:paraId="2F63A996">
            <w:pPr>
              <w:rPr>
                <w:color w:val="000000"/>
                <w:sz w:val="16"/>
                <w:szCs w:val="16"/>
              </w:rPr>
            </w:pPr>
          </w:p>
        </w:tc>
        <w:tc>
          <w:tcPr>
            <w:tcW w:w="0" w:type="auto"/>
            <w:tcBorders>
              <w:top w:val="nil"/>
              <w:left w:val="nil"/>
              <w:bottom w:val="nil"/>
              <w:right w:val="nil"/>
            </w:tcBorders>
            <w:noWrap/>
            <w:vAlign w:val="center"/>
          </w:tcPr>
          <w:p w14:paraId="1D6D9957">
            <w:pPr>
              <w:jc w:val="center"/>
              <w:rPr>
                <w:rFonts w:eastAsia="Times New Roman"/>
                <w:sz w:val="16"/>
                <w:szCs w:val="16"/>
              </w:rPr>
            </w:pPr>
          </w:p>
        </w:tc>
        <w:tc>
          <w:tcPr>
            <w:tcW w:w="0" w:type="auto"/>
            <w:tcBorders>
              <w:top w:val="nil"/>
              <w:left w:val="nil"/>
              <w:bottom w:val="nil"/>
              <w:right w:val="nil"/>
            </w:tcBorders>
            <w:noWrap/>
            <w:vAlign w:val="center"/>
          </w:tcPr>
          <w:p w14:paraId="10A05AC7">
            <w:pPr>
              <w:jc w:val="center"/>
              <w:rPr>
                <w:rFonts w:eastAsia="Times New Roman"/>
                <w:sz w:val="16"/>
                <w:szCs w:val="16"/>
              </w:rPr>
            </w:pPr>
          </w:p>
        </w:tc>
        <w:tc>
          <w:tcPr>
            <w:tcW w:w="0" w:type="auto"/>
            <w:tcBorders>
              <w:top w:val="nil"/>
              <w:left w:val="nil"/>
              <w:bottom w:val="nil"/>
              <w:right w:val="nil"/>
            </w:tcBorders>
            <w:noWrap/>
            <w:vAlign w:val="center"/>
          </w:tcPr>
          <w:p w14:paraId="72C7324C">
            <w:pPr>
              <w:jc w:val="center"/>
              <w:rPr>
                <w:rFonts w:eastAsia="Times New Roman"/>
                <w:sz w:val="16"/>
                <w:szCs w:val="16"/>
              </w:rPr>
            </w:pPr>
          </w:p>
        </w:tc>
        <w:tc>
          <w:tcPr>
            <w:tcW w:w="0" w:type="auto"/>
            <w:tcBorders>
              <w:top w:val="nil"/>
              <w:left w:val="nil"/>
              <w:bottom w:val="nil"/>
              <w:right w:val="nil"/>
            </w:tcBorders>
            <w:noWrap/>
            <w:vAlign w:val="center"/>
          </w:tcPr>
          <w:p w14:paraId="5EE17BAD">
            <w:pPr>
              <w:jc w:val="center"/>
              <w:rPr>
                <w:rFonts w:eastAsia="Times New Roman"/>
                <w:sz w:val="16"/>
                <w:szCs w:val="16"/>
              </w:rPr>
            </w:pPr>
          </w:p>
        </w:tc>
      </w:tr>
      <w:tr w14:paraId="30BBBD75">
        <w:trPr>
          <w:trHeight w:val="283" w:hRule="atLeast"/>
        </w:trPr>
        <w:tc>
          <w:tcPr>
            <w:tcW w:w="0" w:type="auto"/>
            <w:vMerge w:val="continue"/>
            <w:tcBorders>
              <w:left w:val="nil"/>
              <w:right w:val="nil"/>
            </w:tcBorders>
            <w:noWrap/>
            <w:vAlign w:val="center"/>
          </w:tcPr>
          <w:p w14:paraId="7A423B83">
            <w:pPr>
              <w:jc w:val="center"/>
              <w:rPr>
                <w:color w:val="000000"/>
                <w:sz w:val="16"/>
                <w:szCs w:val="16"/>
              </w:rPr>
            </w:pPr>
          </w:p>
        </w:tc>
        <w:tc>
          <w:tcPr>
            <w:tcW w:w="0" w:type="auto"/>
            <w:tcBorders>
              <w:top w:val="nil"/>
              <w:left w:val="nil"/>
              <w:bottom w:val="nil"/>
              <w:right w:val="nil"/>
            </w:tcBorders>
            <w:vAlign w:val="center"/>
          </w:tcPr>
          <w:p w14:paraId="59F2197C">
            <w:pPr>
              <w:jc w:val="center"/>
              <w:rPr>
                <w:color w:val="000000"/>
                <w:sz w:val="16"/>
                <w:szCs w:val="16"/>
              </w:rPr>
            </w:pPr>
            <w:r>
              <w:rPr>
                <w:color w:val="000000"/>
                <w:sz w:val="16"/>
                <w:szCs w:val="16"/>
              </w:rPr>
              <w:t>69 (60–72.5)</w:t>
            </w:r>
          </w:p>
        </w:tc>
        <w:tc>
          <w:tcPr>
            <w:tcW w:w="0" w:type="auto"/>
            <w:tcBorders>
              <w:top w:val="nil"/>
              <w:left w:val="nil"/>
              <w:bottom w:val="nil"/>
              <w:right w:val="nil"/>
            </w:tcBorders>
            <w:vAlign w:val="center"/>
          </w:tcPr>
          <w:p w14:paraId="37C87E7E">
            <w:pPr>
              <w:jc w:val="center"/>
              <w:rPr>
                <w:color w:val="000000"/>
                <w:sz w:val="16"/>
                <w:szCs w:val="16"/>
              </w:rPr>
            </w:pPr>
            <w:r>
              <w:rPr>
                <w:color w:val="000000"/>
                <w:sz w:val="16"/>
                <w:szCs w:val="16"/>
              </w:rPr>
              <w:t>66 (58–72)</w:t>
            </w:r>
          </w:p>
        </w:tc>
        <w:tc>
          <w:tcPr>
            <w:tcW w:w="0" w:type="auto"/>
            <w:tcBorders>
              <w:top w:val="nil"/>
              <w:left w:val="nil"/>
              <w:bottom w:val="nil"/>
              <w:right w:val="nil"/>
            </w:tcBorders>
            <w:vAlign w:val="center"/>
          </w:tcPr>
          <w:p w14:paraId="21A97673">
            <w:pPr>
              <w:jc w:val="center"/>
              <w:rPr>
                <w:color w:val="000000"/>
                <w:sz w:val="16"/>
                <w:szCs w:val="16"/>
              </w:rPr>
            </w:pPr>
            <w:r>
              <w:rPr>
                <w:color w:val="000000"/>
                <w:sz w:val="16"/>
                <w:szCs w:val="16"/>
              </w:rPr>
              <w:t>40 (37–59)</w:t>
            </w:r>
          </w:p>
        </w:tc>
        <w:tc>
          <w:tcPr>
            <w:tcW w:w="0" w:type="auto"/>
            <w:tcBorders>
              <w:top w:val="nil"/>
              <w:left w:val="nil"/>
              <w:bottom w:val="nil"/>
              <w:right w:val="nil"/>
            </w:tcBorders>
            <w:vAlign w:val="center"/>
          </w:tcPr>
          <w:p w14:paraId="7D31E8F9">
            <w:pPr>
              <w:jc w:val="center"/>
              <w:rPr>
                <w:color w:val="000000"/>
                <w:sz w:val="16"/>
                <w:szCs w:val="16"/>
              </w:rPr>
            </w:pPr>
            <w:r>
              <w:rPr>
                <w:color w:val="000000"/>
                <w:sz w:val="16"/>
                <w:szCs w:val="16"/>
              </w:rPr>
              <w:t>33 (22.5–45)</w:t>
            </w:r>
          </w:p>
        </w:tc>
        <w:tc>
          <w:tcPr>
            <w:tcW w:w="0" w:type="auto"/>
            <w:tcBorders>
              <w:top w:val="nil"/>
              <w:left w:val="nil"/>
              <w:bottom w:val="nil"/>
              <w:right w:val="nil"/>
            </w:tcBorders>
            <w:noWrap/>
            <w:vAlign w:val="center"/>
          </w:tcPr>
          <w:p w14:paraId="7EC3986E">
            <w:pPr>
              <w:jc w:val="center"/>
              <w:rPr>
                <w:color w:val="000000"/>
                <w:sz w:val="16"/>
                <w:szCs w:val="16"/>
              </w:rPr>
            </w:pPr>
            <w:r>
              <w:rPr>
                <w:color w:val="000000"/>
                <w:sz w:val="16"/>
                <w:szCs w:val="16"/>
              </w:rPr>
              <w:t>&lt;0.0001</w:t>
            </w:r>
            <w:r>
              <w:rPr>
                <w:color w:val="000000"/>
                <w:sz w:val="16"/>
                <w:szCs w:val="16"/>
                <w:vertAlign w:val="superscript"/>
              </w:rPr>
              <w:t>a</w:t>
            </w:r>
          </w:p>
        </w:tc>
      </w:tr>
      <w:tr w14:paraId="6B9B6D78">
        <w:trPr>
          <w:trHeight w:val="283" w:hRule="atLeast"/>
        </w:trPr>
        <w:tc>
          <w:tcPr>
            <w:tcW w:w="0" w:type="auto"/>
            <w:vMerge w:val="continue"/>
            <w:tcBorders>
              <w:left w:val="nil"/>
              <w:right w:val="nil"/>
            </w:tcBorders>
            <w:noWrap/>
            <w:vAlign w:val="center"/>
          </w:tcPr>
          <w:p w14:paraId="2D5FF0F8">
            <w:pPr>
              <w:jc w:val="center"/>
              <w:rPr>
                <w:color w:val="000000"/>
                <w:sz w:val="16"/>
                <w:szCs w:val="16"/>
              </w:rPr>
            </w:pPr>
          </w:p>
        </w:tc>
        <w:tc>
          <w:tcPr>
            <w:tcW w:w="0" w:type="auto"/>
            <w:tcBorders>
              <w:top w:val="nil"/>
              <w:left w:val="nil"/>
              <w:bottom w:val="nil"/>
              <w:right w:val="nil"/>
            </w:tcBorders>
            <w:vAlign w:val="center"/>
          </w:tcPr>
          <w:p w14:paraId="54AC2E2A">
            <w:pPr>
              <w:jc w:val="center"/>
              <w:rPr>
                <w:color w:val="000000"/>
                <w:sz w:val="16"/>
                <w:szCs w:val="16"/>
              </w:rPr>
            </w:pPr>
          </w:p>
        </w:tc>
        <w:tc>
          <w:tcPr>
            <w:tcW w:w="0" w:type="auto"/>
            <w:tcBorders>
              <w:top w:val="nil"/>
              <w:left w:val="nil"/>
              <w:bottom w:val="nil"/>
              <w:right w:val="nil"/>
            </w:tcBorders>
            <w:vAlign w:val="center"/>
          </w:tcPr>
          <w:p w14:paraId="6C73D374">
            <w:pPr>
              <w:jc w:val="center"/>
              <w:rPr>
                <w:rFonts w:eastAsia="Times New Roman"/>
                <w:sz w:val="16"/>
                <w:szCs w:val="16"/>
              </w:rPr>
            </w:pPr>
          </w:p>
        </w:tc>
        <w:tc>
          <w:tcPr>
            <w:tcW w:w="0" w:type="auto"/>
            <w:tcBorders>
              <w:top w:val="nil"/>
              <w:left w:val="nil"/>
              <w:bottom w:val="nil"/>
              <w:right w:val="nil"/>
            </w:tcBorders>
            <w:vAlign w:val="center"/>
          </w:tcPr>
          <w:p w14:paraId="3283ECF2">
            <w:pPr>
              <w:jc w:val="center"/>
              <w:rPr>
                <w:rFonts w:eastAsia="Times New Roman"/>
                <w:sz w:val="16"/>
                <w:szCs w:val="16"/>
              </w:rPr>
            </w:pPr>
          </w:p>
        </w:tc>
        <w:tc>
          <w:tcPr>
            <w:tcW w:w="0" w:type="auto"/>
            <w:tcBorders>
              <w:top w:val="nil"/>
              <w:left w:val="nil"/>
              <w:bottom w:val="nil"/>
              <w:right w:val="nil"/>
            </w:tcBorders>
            <w:vAlign w:val="center"/>
          </w:tcPr>
          <w:p w14:paraId="0A25D7A9">
            <w:pPr>
              <w:jc w:val="center"/>
              <w:rPr>
                <w:rFonts w:eastAsia="Times New Roman"/>
                <w:sz w:val="16"/>
                <w:szCs w:val="16"/>
              </w:rPr>
            </w:pPr>
          </w:p>
        </w:tc>
        <w:tc>
          <w:tcPr>
            <w:tcW w:w="0" w:type="auto"/>
            <w:tcBorders>
              <w:top w:val="nil"/>
              <w:left w:val="nil"/>
              <w:bottom w:val="nil"/>
              <w:right w:val="nil"/>
            </w:tcBorders>
            <w:noWrap/>
            <w:vAlign w:val="center"/>
          </w:tcPr>
          <w:p w14:paraId="68CF1667">
            <w:pPr>
              <w:jc w:val="center"/>
              <w:rPr>
                <w:rFonts w:eastAsia="Times New Roman"/>
                <w:sz w:val="16"/>
                <w:szCs w:val="16"/>
              </w:rPr>
            </w:pPr>
          </w:p>
        </w:tc>
      </w:tr>
      <w:tr w14:paraId="54E4E2AD">
        <w:trPr>
          <w:trHeight w:val="283" w:hRule="atLeast"/>
        </w:trPr>
        <w:tc>
          <w:tcPr>
            <w:tcW w:w="0" w:type="auto"/>
            <w:vMerge w:val="continue"/>
            <w:tcBorders>
              <w:left w:val="nil"/>
              <w:right w:val="nil"/>
            </w:tcBorders>
            <w:noWrap/>
            <w:vAlign w:val="center"/>
          </w:tcPr>
          <w:p w14:paraId="44C37EB1">
            <w:pPr>
              <w:jc w:val="center"/>
              <w:rPr>
                <w:color w:val="000000"/>
                <w:sz w:val="16"/>
                <w:szCs w:val="16"/>
              </w:rPr>
            </w:pPr>
          </w:p>
        </w:tc>
        <w:tc>
          <w:tcPr>
            <w:tcW w:w="0" w:type="auto"/>
            <w:tcBorders>
              <w:top w:val="nil"/>
              <w:left w:val="nil"/>
              <w:bottom w:val="nil"/>
              <w:right w:val="nil"/>
            </w:tcBorders>
            <w:noWrap/>
            <w:vAlign w:val="center"/>
          </w:tcPr>
          <w:p w14:paraId="1AE02DEF">
            <w:pPr>
              <w:jc w:val="center"/>
              <w:rPr>
                <w:color w:val="000000"/>
                <w:sz w:val="16"/>
                <w:szCs w:val="16"/>
              </w:rPr>
            </w:pPr>
            <w:r>
              <w:rPr>
                <w:color w:val="000000"/>
                <w:sz w:val="16"/>
                <w:szCs w:val="16"/>
              </w:rPr>
              <w:t>20 (46.5)</w:t>
            </w:r>
          </w:p>
        </w:tc>
        <w:tc>
          <w:tcPr>
            <w:tcW w:w="0" w:type="auto"/>
            <w:tcBorders>
              <w:top w:val="nil"/>
              <w:left w:val="nil"/>
              <w:bottom w:val="nil"/>
              <w:right w:val="nil"/>
            </w:tcBorders>
            <w:noWrap/>
            <w:vAlign w:val="center"/>
          </w:tcPr>
          <w:p w14:paraId="254EF74D">
            <w:pPr>
              <w:jc w:val="center"/>
              <w:rPr>
                <w:color w:val="000000"/>
                <w:sz w:val="16"/>
                <w:szCs w:val="16"/>
              </w:rPr>
            </w:pPr>
            <w:r>
              <w:rPr>
                <w:color w:val="000000"/>
                <w:sz w:val="16"/>
                <w:szCs w:val="16"/>
              </w:rPr>
              <w:t>3 (23)</w:t>
            </w:r>
          </w:p>
        </w:tc>
        <w:tc>
          <w:tcPr>
            <w:tcW w:w="0" w:type="auto"/>
            <w:tcBorders>
              <w:top w:val="nil"/>
              <w:left w:val="nil"/>
              <w:bottom w:val="nil"/>
              <w:right w:val="nil"/>
            </w:tcBorders>
            <w:noWrap/>
            <w:vAlign w:val="center"/>
          </w:tcPr>
          <w:p w14:paraId="617217C4">
            <w:pPr>
              <w:jc w:val="center"/>
              <w:rPr>
                <w:color w:val="000000"/>
                <w:sz w:val="16"/>
                <w:szCs w:val="16"/>
              </w:rPr>
            </w:pPr>
            <w:r>
              <w:rPr>
                <w:color w:val="000000"/>
                <w:sz w:val="16"/>
                <w:szCs w:val="16"/>
              </w:rPr>
              <w:t>7 (53.8)</w:t>
            </w:r>
          </w:p>
        </w:tc>
        <w:tc>
          <w:tcPr>
            <w:tcW w:w="0" w:type="auto"/>
            <w:tcBorders>
              <w:top w:val="nil"/>
              <w:left w:val="nil"/>
              <w:bottom w:val="nil"/>
              <w:right w:val="nil"/>
            </w:tcBorders>
            <w:noWrap/>
            <w:vAlign w:val="center"/>
          </w:tcPr>
          <w:p w14:paraId="7106AF63">
            <w:pPr>
              <w:jc w:val="center"/>
              <w:rPr>
                <w:color w:val="000000"/>
                <w:sz w:val="16"/>
                <w:szCs w:val="16"/>
              </w:rPr>
            </w:pPr>
            <w:r>
              <w:rPr>
                <w:color w:val="000000"/>
                <w:sz w:val="16"/>
                <w:szCs w:val="16"/>
              </w:rPr>
              <w:t>2 (33.3)</w:t>
            </w:r>
          </w:p>
        </w:tc>
        <w:tc>
          <w:tcPr>
            <w:tcW w:w="0" w:type="auto"/>
            <w:tcBorders>
              <w:top w:val="nil"/>
              <w:left w:val="nil"/>
              <w:bottom w:val="nil"/>
              <w:right w:val="nil"/>
            </w:tcBorders>
            <w:noWrap/>
            <w:vAlign w:val="center"/>
          </w:tcPr>
          <w:p w14:paraId="28836C77">
            <w:pPr>
              <w:jc w:val="center"/>
              <w:rPr>
                <w:color w:val="000000"/>
                <w:sz w:val="16"/>
                <w:szCs w:val="16"/>
              </w:rPr>
            </w:pPr>
            <w:r>
              <w:rPr>
                <w:color w:val="000000"/>
                <w:sz w:val="16"/>
                <w:szCs w:val="16"/>
              </w:rPr>
              <w:t>0.28</w:t>
            </w:r>
            <w:r>
              <w:rPr>
                <w:color w:val="000000"/>
                <w:sz w:val="16"/>
                <w:szCs w:val="16"/>
                <w:vertAlign w:val="superscript"/>
              </w:rPr>
              <w:t>b</w:t>
            </w:r>
          </w:p>
        </w:tc>
      </w:tr>
      <w:tr w14:paraId="0199EDF6">
        <w:trPr>
          <w:trHeight w:val="283" w:hRule="atLeast"/>
        </w:trPr>
        <w:tc>
          <w:tcPr>
            <w:tcW w:w="0" w:type="auto"/>
            <w:vMerge w:val="continue"/>
            <w:tcBorders>
              <w:left w:val="nil"/>
              <w:right w:val="nil"/>
            </w:tcBorders>
            <w:noWrap/>
            <w:vAlign w:val="center"/>
          </w:tcPr>
          <w:p w14:paraId="6BD8F1B1">
            <w:pPr>
              <w:jc w:val="center"/>
              <w:rPr>
                <w:color w:val="000000"/>
                <w:sz w:val="16"/>
                <w:szCs w:val="16"/>
              </w:rPr>
            </w:pPr>
          </w:p>
        </w:tc>
        <w:tc>
          <w:tcPr>
            <w:tcW w:w="0" w:type="auto"/>
            <w:tcBorders>
              <w:top w:val="nil"/>
              <w:left w:val="nil"/>
              <w:bottom w:val="nil"/>
              <w:right w:val="nil"/>
            </w:tcBorders>
            <w:vAlign w:val="center"/>
          </w:tcPr>
          <w:p w14:paraId="7CBD1440">
            <w:pPr>
              <w:jc w:val="center"/>
              <w:rPr>
                <w:color w:val="000000"/>
                <w:sz w:val="16"/>
                <w:szCs w:val="16"/>
              </w:rPr>
            </w:pPr>
            <w:r>
              <w:rPr>
                <w:color w:val="000000"/>
                <w:sz w:val="16"/>
                <w:szCs w:val="16"/>
              </w:rPr>
              <w:t>26.66 (24.42–28.75)</w:t>
            </w:r>
          </w:p>
        </w:tc>
        <w:tc>
          <w:tcPr>
            <w:tcW w:w="0" w:type="auto"/>
            <w:tcBorders>
              <w:top w:val="nil"/>
              <w:left w:val="nil"/>
              <w:bottom w:val="nil"/>
              <w:right w:val="nil"/>
            </w:tcBorders>
            <w:vAlign w:val="center"/>
          </w:tcPr>
          <w:p w14:paraId="7CBECC50">
            <w:pPr>
              <w:jc w:val="center"/>
              <w:rPr>
                <w:color w:val="000000"/>
                <w:sz w:val="16"/>
                <w:szCs w:val="16"/>
              </w:rPr>
            </w:pPr>
            <w:r>
              <w:rPr>
                <w:color w:val="000000"/>
                <w:sz w:val="16"/>
                <w:szCs w:val="16"/>
              </w:rPr>
              <w:t>25.25 (22.49–28.64)</w:t>
            </w:r>
          </w:p>
        </w:tc>
        <w:tc>
          <w:tcPr>
            <w:tcW w:w="0" w:type="auto"/>
            <w:tcBorders>
              <w:top w:val="nil"/>
              <w:left w:val="nil"/>
              <w:bottom w:val="nil"/>
              <w:right w:val="nil"/>
            </w:tcBorders>
            <w:vAlign w:val="center"/>
          </w:tcPr>
          <w:p w14:paraId="3EB11D03">
            <w:pPr>
              <w:jc w:val="center"/>
              <w:rPr>
                <w:color w:val="000000"/>
                <w:sz w:val="16"/>
                <w:szCs w:val="16"/>
              </w:rPr>
            </w:pPr>
            <w:r>
              <w:rPr>
                <w:color w:val="000000"/>
                <w:sz w:val="16"/>
                <w:szCs w:val="16"/>
              </w:rPr>
              <w:t>24.61 (21.62–27.73)</w:t>
            </w:r>
          </w:p>
        </w:tc>
        <w:tc>
          <w:tcPr>
            <w:tcW w:w="0" w:type="auto"/>
            <w:tcBorders>
              <w:top w:val="nil"/>
              <w:left w:val="nil"/>
              <w:bottom w:val="nil"/>
              <w:right w:val="nil"/>
            </w:tcBorders>
            <w:vAlign w:val="center"/>
          </w:tcPr>
          <w:p w14:paraId="2BB2D0FC">
            <w:pPr>
              <w:jc w:val="center"/>
              <w:rPr>
                <w:color w:val="000000"/>
                <w:sz w:val="16"/>
                <w:szCs w:val="16"/>
              </w:rPr>
            </w:pPr>
            <w:r>
              <w:rPr>
                <w:color w:val="000000"/>
                <w:sz w:val="16"/>
                <w:szCs w:val="16"/>
              </w:rPr>
              <w:t>20.51 (19.57–25.84)</w:t>
            </w:r>
          </w:p>
        </w:tc>
        <w:tc>
          <w:tcPr>
            <w:tcW w:w="0" w:type="auto"/>
            <w:tcBorders>
              <w:top w:val="nil"/>
              <w:left w:val="nil"/>
              <w:bottom w:val="nil"/>
              <w:right w:val="nil"/>
            </w:tcBorders>
            <w:noWrap/>
            <w:vAlign w:val="center"/>
          </w:tcPr>
          <w:p w14:paraId="060825AC">
            <w:pPr>
              <w:jc w:val="center"/>
              <w:rPr>
                <w:color w:val="000000"/>
                <w:sz w:val="16"/>
                <w:szCs w:val="16"/>
              </w:rPr>
            </w:pPr>
            <w:r>
              <w:rPr>
                <w:color w:val="000000"/>
                <w:sz w:val="16"/>
                <w:szCs w:val="16"/>
              </w:rPr>
              <w:t>0.027</w:t>
            </w:r>
            <w:r>
              <w:rPr>
                <w:color w:val="000000"/>
                <w:sz w:val="16"/>
                <w:szCs w:val="16"/>
                <w:vertAlign w:val="superscript"/>
              </w:rPr>
              <w:t>a</w:t>
            </w:r>
          </w:p>
        </w:tc>
      </w:tr>
      <w:tr w14:paraId="4719BAAC">
        <w:trPr>
          <w:trHeight w:val="283" w:hRule="atLeast"/>
        </w:trPr>
        <w:tc>
          <w:tcPr>
            <w:tcW w:w="0" w:type="auto"/>
            <w:vMerge w:val="continue"/>
            <w:tcBorders>
              <w:left w:val="nil"/>
              <w:right w:val="nil"/>
            </w:tcBorders>
            <w:noWrap/>
            <w:vAlign w:val="center"/>
          </w:tcPr>
          <w:p w14:paraId="094AABDF">
            <w:pPr>
              <w:jc w:val="center"/>
              <w:rPr>
                <w:color w:val="000000"/>
                <w:sz w:val="16"/>
                <w:szCs w:val="16"/>
              </w:rPr>
            </w:pPr>
          </w:p>
        </w:tc>
        <w:tc>
          <w:tcPr>
            <w:tcW w:w="0" w:type="auto"/>
            <w:tcBorders>
              <w:top w:val="nil"/>
              <w:left w:val="nil"/>
              <w:bottom w:val="nil"/>
              <w:right w:val="nil"/>
            </w:tcBorders>
            <w:noWrap/>
            <w:vAlign w:val="center"/>
          </w:tcPr>
          <w:p w14:paraId="10B031A7">
            <w:pPr>
              <w:jc w:val="center"/>
              <w:rPr>
                <w:color w:val="000000"/>
                <w:sz w:val="16"/>
                <w:szCs w:val="16"/>
              </w:rPr>
            </w:pPr>
            <w:r>
              <w:rPr>
                <w:color w:val="000000"/>
                <w:sz w:val="16"/>
                <w:szCs w:val="16"/>
              </w:rPr>
              <w:t>26 (60.4)</w:t>
            </w:r>
          </w:p>
        </w:tc>
        <w:tc>
          <w:tcPr>
            <w:tcW w:w="0" w:type="auto"/>
            <w:tcBorders>
              <w:top w:val="nil"/>
              <w:left w:val="nil"/>
              <w:bottom w:val="nil"/>
              <w:right w:val="nil"/>
            </w:tcBorders>
            <w:noWrap/>
            <w:vAlign w:val="center"/>
          </w:tcPr>
          <w:p w14:paraId="526D9604">
            <w:pPr>
              <w:jc w:val="center"/>
              <w:rPr>
                <w:color w:val="000000"/>
                <w:sz w:val="16"/>
                <w:szCs w:val="16"/>
              </w:rPr>
            </w:pPr>
            <w:r>
              <w:rPr>
                <w:color w:val="000000"/>
                <w:sz w:val="16"/>
                <w:szCs w:val="16"/>
              </w:rPr>
              <w:t>5 (38.5)</w:t>
            </w:r>
          </w:p>
        </w:tc>
        <w:tc>
          <w:tcPr>
            <w:tcW w:w="0" w:type="auto"/>
            <w:tcBorders>
              <w:top w:val="nil"/>
              <w:left w:val="nil"/>
              <w:bottom w:val="nil"/>
              <w:right w:val="nil"/>
            </w:tcBorders>
            <w:noWrap/>
            <w:vAlign w:val="center"/>
          </w:tcPr>
          <w:p w14:paraId="5120FE71">
            <w:pPr>
              <w:jc w:val="center"/>
              <w:rPr>
                <w:color w:val="000000"/>
                <w:sz w:val="16"/>
                <w:szCs w:val="16"/>
              </w:rPr>
            </w:pPr>
            <w:r>
              <w:rPr>
                <w:color w:val="000000"/>
                <w:sz w:val="16"/>
                <w:szCs w:val="16"/>
              </w:rPr>
              <w:t>4 (30.8)</w:t>
            </w:r>
          </w:p>
        </w:tc>
        <w:tc>
          <w:tcPr>
            <w:tcW w:w="0" w:type="auto"/>
            <w:tcBorders>
              <w:top w:val="nil"/>
              <w:left w:val="nil"/>
              <w:bottom w:val="nil"/>
              <w:right w:val="nil"/>
            </w:tcBorders>
            <w:noWrap/>
            <w:vAlign w:val="center"/>
          </w:tcPr>
          <w:p w14:paraId="79CE1541">
            <w:pPr>
              <w:jc w:val="center"/>
              <w:rPr>
                <w:color w:val="000000"/>
                <w:sz w:val="16"/>
                <w:szCs w:val="16"/>
              </w:rPr>
            </w:pPr>
            <w:r>
              <w:rPr>
                <w:color w:val="000000"/>
                <w:sz w:val="16"/>
                <w:szCs w:val="16"/>
              </w:rPr>
              <w:t>0 (0)</w:t>
            </w:r>
          </w:p>
        </w:tc>
        <w:tc>
          <w:tcPr>
            <w:tcW w:w="0" w:type="auto"/>
            <w:tcBorders>
              <w:top w:val="nil"/>
              <w:left w:val="nil"/>
              <w:bottom w:val="nil"/>
              <w:right w:val="nil"/>
            </w:tcBorders>
            <w:noWrap/>
            <w:vAlign w:val="center"/>
          </w:tcPr>
          <w:p w14:paraId="72126781">
            <w:pPr>
              <w:jc w:val="center"/>
              <w:rPr>
                <w:color w:val="000000"/>
                <w:sz w:val="16"/>
                <w:szCs w:val="16"/>
              </w:rPr>
            </w:pPr>
            <w:r>
              <w:rPr>
                <w:color w:val="000000"/>
                <w:sz w:val="16"/>
                <w:szCs w:val="16"/>
              </w:rPr>
              <w:t>0.015</w:t>
            </w:r>
            <w:r>
              <w:rPr>
                <w:color w:val="000000"/>
                <w:sz w:val="16"/>
                <w:szCs w:val="16"/>
                <w:vertAlign w:val="superscript"/>
              </w:rPr>
              <w:t>b</w:t>
            </w:r>
          </w:p>
        </w:tc>
      </w:tr>
      <w:tr w14:paraId="417E4B7E">
        <w:trPr>
          <w:trHeight w:val="283" w:hRule="atLeast"/>
        </w:trPr>
        <w:tc>
          <w:tcPr>
            <w:tcW w:w="0" w:type="auto"/>
            <w:vMerge w:val="continue"/>
            <w:tcBorders>
              <w:left w:val="nil"/>
              <w:right w:val="nil"/>
            </w:tcBorders>
            <w:vAlign w:val="center"/>
          </w:tcPr>
          <w:p w14:paraId="411B273C">
            <w:pPr>
              <w:jc w:val="center"/>
              <w:rPr>
                <w:color w:val="000000"/>
                <w:sz w:val="16"/>
                <w:szCs w:val="16"/>
              </w:rPr>
            </w:pPr>
          </w:p>
        </w:tc>
        <w:tc>
          <w:tcPr>
            <w:tcW w:w="0" w:type="auto"/>
            <w:tcBorders>
              <w:top w:val="nil"/>
              <w:left w:val="nil"/>
              <w:bottom w:val="nil"/>
              <w:right w:val="nil"/>
            </w:tcBorders>
            <w:vAlign w:val="center"/>
          </w:tcPr>
          <w:p w14:paraId="49BCFEF7">
            <w:pPr>
              <w:rPr>
                <w:color w:val="000000"/>
                <w:sz w:val="16"/>
                <w:szCs w:val="16"/>
              </w:rPr>
            </w:pPr>
          </w:p>
        </w:tc>
        <w:tc>
          <w:tcPr>
            <w:tcW w:w="0" w:type="auto"/>
            <w:tcBorders>
              <w:top w:val="nil"/>
              <w:left w:val="nil"/>
              <w:bottom w:val="nil"/>
              <w:right w:val="nil"/>
            </w:tcBorders>
            <w:vAlign w:val="center"/>
          </w:tcPr>
          <w:p w14:paraId="728E1F39">
            <w:pPr>
              <w:jc w:val="center"/>
              <w:rPr>
                <w:rFonts w:eastAsia="Times New Roman"/>
                <w:sz w:val="16"/>
                <w:szCs w:val="16"/>
              </w:rPr>
            </w:pPr>
          </w:p>
        </w:tc>
        <w:tc>
          <w:tcPr>
            <w:tcW w:w="0" w:type="auto"/>
            <w:tcBorders>
              <w:top w:val="nil"/>
              <w:left w:val="nil"/>
              <w:bottom w:val="nil"/>
              <w:right w:val="nil"/>
            </w:tcBorders>
            <w:noWrap/>
            <w:vAlign w:val="center"/>
          </w:tcPr>
          <w:p w14:paraId="5150B136">
            <w:pPr>
              <w:jc w:val="center"/>
              <w:rPr>
                <w:rFonts w:eastAsia="Times New Roman"/>
                <w:sz w:val="16"/>
                <w:szCs w:val="16"/>
              </w:rPr>
            </w:pPr>
          </w:p>
        </w:tc>
        <w:tc>
          <w:tcPr>
            <w:tcW w:w="0" w:type="auto"/>
            <w:tcBorders>
              <w:top w:val="nil"/>
              <w:left w:val="nil"/>
              <w:bottom w:val="nil"/>
              <w:right w:val="nil"/>
            </w:tcBorders>
            <w:vAlign w:val="center"/>
          </w:tcPr>
          <w:p w14:paraId="1FAB46DA">
            <w:pPr>
              <w:jc w:val="center"/>
              <w:rPr>
                <w:rFonts w:eastAsia="Times New Roman"/>
                <w:sz w:val="16"/>
                <w:szCs w:val="16"/>
              </w:rPr>
            </w:pPr>
          </w:p>
        </w:tc>
        <w:tc>
          <w:tcPr>
            <w:tcW w:w="0" w:type="auto"/>
            <w:tcBorders>
              <w:top w:val="nil"/>
              <w:left w:val="nil"/>
              <w:bottom w:val="nil"/>
              <w:right w:val="nil"/>
            </w:tcBorders>
            <w:noWrap/>
            <w:vAlign w:val="center"/>
          </w:tcPr>
          <w:p w14:paraId="08C9D1B2">
            <w:pPr>
              <w:jc w:val="center"/>
              <w:rPr>
                <w:rFonts w:eastAsia="Times New Roman"/>
                <w:sz w:val="16"/>
                <w:szCs w:val="16"/>
              </w:rPr>
            </w:pPr>
          </w:p>
        </w:tc>
      </w:tr>
      <w:tr w14:paraId="15C1C10E">
        <w:trPr>
          <w:trHeight w:val="283" w:hRule="atLeast"/>
        </w:trPr>
        <w:tc>
          <w:tcPr>
            <w:tcW w:w="0" w:type="auto"/>
            <w:vMerge w:val="continue"/>
            <w:tcBorders>
              <w:left w:val="nil"/>
              <w:right w:val="nil"/>
            </w:tcBorders>
            <w:noWrap/>
            <w:vAlign w:val="center"/>
          </w:tcPr>
          <w:p w14:paraId="2522F299">
            <w:pPr>
              <w:jc w:val="center"/>
              <w:rPr>
                <w:color w:val="000000"/>
                <w:sz w:val="16"/>
                <w:szCs w:val="16"/>
              </w:rPr>
            </w:pPr>
          </w:p>
        </w:tc>
        <w:tc>
          <w:tcPr>
            <w:tcW w:w="0" w:type="auto"/>
            <w:tcBorders>
              <w:top w:val="nil"/>
              <w:left w:val="nil"/>
              <w:bottom w:val="nil"/>
              <w:right w:val="nil"/>
            </w:tcBorders>
            <w:noWrap/>
            <w:vAlign w:val="center"/>
          </w:tcPr>
          <w:p w14:paraId="48C1988B">
            <w:pPr>
              <w:jc w:val="center"/>
              <w:rPr>
                <w:color w:val="000000"/>
                <w:sz w:val="16"/>
                <w:szCs w:val="16"/>
              </w:rPr>
            </w:pPr>
            <w:r>
              <w:rPr>
                <w:color w:val="000000"/>
                <w:sz w:val="16"/>
                <w:szCs w:val="16"/>
              </w:rPr>
              <w:t>2:41</w:t>
            </w:r>
          </w:p>
        </w:tc>
        <w:tc>
          <w:tcPr>
            <w:tcW w:w="0" w:type="auto"/>
            <w:tcBorders>
              <w:top w:val="nil"/>
              <w:left w:val="nil"/>
              <w:bottom w:val="nil"/>
              <w:right w:val="nil"/>
            </w:tcBorders>
            <w:noWrap/>
            <w:vAlign w:val="center"/>
          </w:tcPr>
          <w:p w14:paraId="4605F8D8">
            <w:pPr>
              <w:jc w:val="center"/>
              <w:rPr>
                <w:color w:val="000000"/>
                <w:sz w:val="16"/>
                <w:szCs w:val="16"/>
              </w:rPr>
            </w:pPr>
            <w:r>
              <w:rPr>
                <w:color w:val="000000"/>
                <w:sz w:val="16"/>
                <w:szCs w:val="16"/>
              </w:rPr>
              <w:t>0:13</w:t>
            </w:r>
          </w:p>
        </w:tc>
        <w:tc>
          <w:tcPr>
            <w:tcW w:w="0" w:type="auto"/>
            <w:tcBorders>
              <w:top w:val="nil"/>
              <w:left w:val="nil"/>
              <w:bottom w:val="nil"/>
              <w:right w:val="nil"/>
            </w:tcBorders>
            <w:noWrap/>
            <w:vAlign w:val="center"/>
          </w:tcPr>
          <w:p w14:paraId="6E2842F8">
            <w:pPr>
              <w:jc w:val="center"/>
              <w:rPr>
                <w:color w:val="000000"/>
                <w:sz w:val="16"/>
                <w:szCs w:val="16"/>
              </w:rPr>
            </w:pPr>
            <w:r>
              <w:rPr>
                <w:color w:val="000000"/>
                <w:sz w:val="16"/>
                <w:szCs w:val="16"/>
              </w:rPr>
              <w:t>8:5</w:t>
            </w:r>
          </w:p>
        </w:tc>
        <w:tc>
          <w:tcPr>
            <w:tcW w:w="0" w:type="auto"/>
            <w:tcBorders>
              <w:top w:val="nil"/>
              <w:left w:val="nil"/>
              <w:bottom w:val="nil"/>
              <w:right w:val="nil"/>
            </w:tcBorders>
            <w:noWrap/>
            <w:vAlign w:val="center"/>
          </w:tcPr>
          <w:p w14:paraId="199E0F65">
            <w:pPr>
              <w:jc w:val="center"/>
              <w:rPr>
                <w:color w:val="000000"/>
                <w:sz w:val="16"/>
                <w:szCs w:val="16"/>
              </w:rPr>
            </w:pPr>
            <w:r>
              <w:rPr>
                <w:color w:val="000000"/>
                <w:sz w:val="16"/>
                <w:szCs w:val="16"/>
              </w:rPr>
              <w:t>6：0</w:t>
            </w:r>
          </w:p>
        </w:tc>
        <w:tc>
          <w:tcPr>
            <w:tcW w:w="0" w:type="auto"/>
            <w:tcBorders>
              <w:top w:val="nil"/>
              <w:left w:val="nil"/>
              <w:bottom w:val="nil"/>
              <w:right w:val="nil"/>
            </w:tcBorders>
            <w:noWrap/>
            <w:vAlign w:val="center"/>
          </w:tcPr>
          <w:p w14:paraId="5FC14D5D">
            <w:pPr>
              <w:jc w:val="center"/>
              <w:rPr>
                <w:color w:val="000000"/>
                <w:sz w:val="16"/>
                <w:szCs w:val="16"/>
              </w:rPr>
            </w:pPr>
            <w:r>
              <w:rPr>
                <w:color w:val="000000"/>
                <w:sz w:val="16"/>
                <w:szCs w:val="16"/>
              </w:rPr>
              <w:t>&lt;0.0001</w:t>
            </w:r>
            <w:r>
              <w:rPr>
                <w:color w:val="000000"/>
                <w:sz w:val="16"/>
                <w:szCs w:val="16"/>
                <w:vertAlign w:val="superscript"/>
              </w:rPr>
              <w:t>b</w:t>
            </w:r>
          </w:p>
        </w:tc>
      </w:tr>
      <w:tr w14:paraId="359E3504">
        <w:trPr>
          <w:trHeight w:val="283" w:hRule="atLeast"/>
        </w:trPr>
        <w:tc>
          <w:tcPr>
            <w:tcW w:w="0" w:type="auto"/>
            <w:vMerge w:val="continue"/>
            <w:tcBorders>
              <w:left w:val="nil"/>
              <w:right w:val="nil"/>
            </w:tcBorders>
            <w:noWrap/>
            <w:vAlign w:val="center"/>
          </w:tcPr>
          <w:p w14:paraId="4517E883">
            <w:pPr>
              <w:jc w:val="center"/>
              <w:rPr>
                <w:color w:val="000000"/>
                <w:sz w:val="16"/>
                <w:szCs w:val="16"/>
              </w:rPr>
            </w:pPr>
          </w:p>
        </w:tc>
        <w:tc>
          <w:tcPr>
            <w:tcW w:w="0" w:type="auto"/>
            <w:tcBorders>
              <w:top w:val="nil"/>
              <w:left w:val="nil"/>
              <w:bottom w:val="nil"/>
              <w:right w:val="nil"/>
            </w:tcBorders>
            <w:noWrap/>
            <w:vAlign w:val="center"/>
          </w:tcPr>
          <w:p w14:paraId="413FCCCC">
            <w:pPr>
              <w:rPr>
                <w:color w:val="000000"/>
                <w:sz w:val="16"/>
                <w:szCs w:val="16"/>
              </w:rPr>
            </w:pPr>
          </w:p>
        </w:tc>
        <w:tc>
          <w:tcPr>
            <w:tcW w:w="0" w:type="auto"/>
            <w:tcBorders>
              <w:top w:val="nil"/>
              <w:left w:val="nil"/>
              <w:bottom w:val="nil"/>
              <w:right w:val="nil"/>
            </w:tcBorders>
            <w:noWrap/>
            <w:vAlign w:val="center"/>
          </w:tcPr>
          <w:p w14:paraId="47A07478">
            <w:pPr>
              <w:jc w:val="center"/>
              <w:rPr>
                <w:rFonts w:eastAsia="Times New Roman"/>
                <w:sz w:val="16"/>
                <w:szCs w:val="16"/>
              </w:rPr>
            </w:pPr>
          </w:p>
        </w:tc>
        <w:tc>
          <w:tcPr>
            <w:tcW w:w="0" w:type="auto"/>
            <w:tcBorders>
              <w:top w:val="nil"/>
              <w:left w:val="nil"/>
              <w:bottom w:val="nil"/>
              <w:right w:val="nil"/>
            </w:tcBorders>
            <w:noWrap/>
            <w:vAlign w:val="center"/>
          </w:tcPr>
          <w:p w14:paraId="71A0E892">
            <w:pPr>
              <w:jc w:val="center"/>
              <w:rPr>
                <w:rFonts w:eastAsia="Times New Roman"/>
                <w:sz w:val="16"/>
                <w:szCs w:val="16"/>
              </w:rPr>
            </w:pPr>
          </w:p>
        </w:tc>
        <w:tc>
          <w:tcPr>
            <w:tcW w:w="0" w:type="auto"/>
            <w:tcBorders>
              <w:top w:val="nil"/>
              <w:left w:val="nil"/>
              <w:bottom w:val="nil"/>
              <w:right w:val="nil"/>
            </w:tcBorders>
            <w:noWrap/>
            <w:vAlign w:val="center"/>
          </w:tcPr>
          <w:p w14:paraId="45072618">
            <w:pPr>
              <w:jc w:val="center"/>
              <w:rPr>
                <w:rFonts w:eastAsia="Times New Roman"/>
                <w:sz w:val="16"/>
                <w:szCs w:val="16"/>
              </w:rPr>
            </w:pPr>
          </w:p>
        </w:tc>
        <w:tc>
          <w:tcPr>
            <w:tcW w:w="0" w:type="auto"/>
            <w:tcBorders>
              <w:top w:val="nil"/>
              <w:left w:val="nil"/>
              <w:bottom w:val="nil"/>
              <w:right w:val="nil"/>
            </w:tcBorders>
            <w:noWrap/>
            <w:vAlign w:val="center"/>
          </w:tcPr>
          <w:p w14:paraId="3E4D46B4">
            <w:pPr>
              <w:jc w:val="center"/>
              <w:rPr>
                <w:rFonts w:eastAsia="Times New Roman"/>
                <w:sz w:val="16"/>
                <w:szCs w:val="16"/>
              </w:rPr>
            </w:pPr>
          </w:p>
        </w:tc>
      </w:tr>
      <w:tr w14:paraId="5B91A1EE">
        <w:trPr>
          <w:trHeight w:val="283" w:hRule="atLeast"/>
        </w:trPr>
        <w:tc>
          <w:tcPr>
            <w:tcW w:w="0" w:type="auto"/>
            <w:vMerge w:val="continue"/>
            <w:tcBorders>
              <w:left w:val="nil"/>
              <w:right w:val="nil"/>
            </w:tcBorders>
            <w:noWrap/>
            <w:vAlign w:val="center"/>
          </w:tcPr>
          <w:p w14:paraId="1164BB30">
            <w:pPr>
              <w:jc w:val="center"/>
              <w:rPr>
                <w:color w:val="000000"/>
                <w:sz w:val="16"/>
                <w:szCs w:val="16"/>
              </w:rPr>
            </w:pPr>
          </w:p>
        </w:tc>
        <w:tc>
          <w:tcPr>
            <w:tcW w:w="0" w:type="auto"/>
            <w:tcBorders>
              <w:top w:val="nil"/>
              <w:left w:val="nil"/>
              <w:bottom w:val="nil"/>
              <w:right w:val="nil"/>
            </w:tcBorders>
            <w:noWrap/>
            <w:vAlign w:val="center"/>
          </w:tcPr>
          <w:p w14:paraId="606DE705">
            <w:pPr>
              <w:jc w:val="center"/>
              <w:rPr>
                <w:color w:val="000000"/>
                <w:sz w:val="16"/>
                <w:szCs w:val="16"/>
              </w:rPr>
            </w:pPr>
            <w:r>
              <w:rPr>
                <w:color w:val="000000"/>
                <w:sz w:val="16"/>
                <w:szCs w:val="16"/>
              </w:rPr>
              <w:t>6.1 (5.5–5.65)</w:t>
            </w:r>
          </w:p>
        </w:tc>
        <w:tc>
          <w:tcPr>
            <w:tcW w:w="0" w:type="auto"/>
            <w:tcBorders>
              <w:top w:val="nil"/>
              <w:left w:val="nil"/>
              <w:bottom w:val="nil"/>
              <w:right w:val="nil"/>
            </w:tcBorders>
            <w:noWrap/>
            <w:vAlign w:val="center"/>
          </w:tcPr>
          <w:p w14:paraId="734488B3">
            <w:pPr>
              <w:jc w:val="center"/>
              <w:rPr>
                <w:color w:val="000000"/>
                <w:sz w:val="16"/>
                <w:szCs w:val="16"/>
              </w:rPr>
            </w:pPr>
            <w:r>
              <w:rPr>
                <w:color w:val="000000"/>
                <w:sz w:val="16"/>
                <w:szCs w:val="16"/>
              </w:rPr>
              <w:t>5.9 (5.5–6.2)</w:t>
            </w:r>
          </w:p>
        </w:tc>
        <w:tc>
          <w:tcPr>
            <w:tcW w:w="0" w:type="auto"/>
            <w:tcBorders>
              <w:top w:val="nil"/>
              <w:left w:val="nil"/>
              <w:bottom w:val="nil"/>
              <w:right w:val="nil"/>
            </w:tcBorders>
            <w:noWrap/>
            <w:vAlign w:val="center"/>
          </w:tcPr>
          <w:p w14:paraId="273D2BB9">
            <w:pPr>
              <w:jc w:val="center"/>
              <w:rPr>
                <w:color w:val="000000"/>
                <w:sz w:val="16"/>
                <w:szCs w:val="16"/>
              </w:rPr>
            </w:pPr>
            <w:r>
              <w:rPr>
                <w:color w:val="000000"/>
                <w:sz w:val="16"/>
                <w:szCs w:val="16"/>
              </w:rPr>
              <w:t>5.6 (5.4–5.9)</w:t>
            </w:r>
          </w:p>
        </w:tc>
        <w:tc>
          <w:tcPr>
            <w:tcW w:w="0" w:type="auto"/>
            <w:tcBorders>
              <w:top w:val="nil"/>
              <w:left w:val="nil"/>
              <w:bottom w:val="nil"/>
              <w:right w:val="nil"/>
            </w:tcBorders>
            <w:noWrap/>
            <w:vAlign w:val="center"/>
          </w:tcPr>
          <w:p w14:paraId="70C312E0">
            <w:pPr>
              <w:jc w:val="center"/>
              <w:rPr>
                <w:color w:val="000000"/>
                <w:sz w:val="16"/>
                <w:szCs w:val="16"/>
              </w:rPr>
            </w:pPr>
            <w:r>
              <w:rPr>
                <w:color w:val="000000"/>
                <w:sz w:val="16"/>
                <w:szCs w:val="16"/>
              </w:rPr>
              <w:t>5.2 (5.1–5.4)</w:t>
            </w:r>
          </w:p>
        </w:tc>
        <w:tc>
          <w:tcPr>
            <w:tcW w:w="0" w:type="auto"/>
            <w:tcBorders>
              <w:top w:val="nil"/>
              <w:left w:val="nil"/>
              <w:bottom w:val="nil"/>
              <w:right w:val="nil"/>
            </w:tcBorders>
            <w:noWrap/>
            <w:vAlign w:val="center"/>
          </w:tcPr>
          <w:p w14:paraId="06B7FDD6">
            <w:pPr>
              <w:jc w:val="center"/>
              <w:rPr>
                <w:color w:val="000000"/>
                <w:sz w:val="16"/>
                <w:szCs w:val="16"/>
              </w:rPr>
            </w:pPr>
            <w:r>
              <w:rPr>
                <w:color w:val="000000"/>
                <w:sz w:val="16"/>
                <w:szCs w:val="16"/>
              </w:rPr>
              <w:t>0.011</w:t>
            </w:r>
            <w:r>
              <w:rPr>
                <w:color w:val="000000"/>
                <w:sz w:val="16"/>
                <w:szCs w:val="16"/>
                <w:vertAlign w:val="superscript"/>
              </w:rPr>
              <w:t>a</w:t>
            </w:r>
          </w:p>
        </w:tc>
      </w:tr>
      <w:tr w14:paraId="563CCFFB">
        <w:trPr>
          <w:trHeight w:val="283" w:hRule="atLeast"/>
        </w:trPr>
        <w:tc>
          <w:tcPr>
            <w:tcW w:w="0" w:type="auto"/>
            <w:vMerge w:val="continue"/>
            <w:tcBorders>
              <w:left w:val="nil"/>
              <w:right w:val="nil"/>
            </w:tcBorders>
            <w:vAlign w:val="center"/>
          </w:tcPr>
          <w:p w14:paraId="7CFE0139">
            <w:pPr>
              <w:jc w:val="center"/>
              <w:rPr>
                <w:color w:val="000000"/>
                <w:sz w:val="16"/>
                <w:szCs w:val="16"/>
              </w:rPr>
            </w:pPr>
          </w:p>
        </w:tc>
        <w:tc>
          <w:tcPr>
            <w:tcW w:w="0" w:type="auto"/>
            <w:tcBorders>
              <w:top w:val="nil"/>
              <w:left w:val="nil"/>
              <w:bottom w:val="nil"/>
              <w:right w:val="nil"/>
            </w:tcBorders>
            <w:vAlign w:val="center"/>
          </w:tcPr>
          <w:p w14:paraId="3781D8C6">
            <w:pPr>
              <w:jc w:val="center"/>
              <w:rPr>
                <w:color w:val="000000"/>
                <w:sz w:val="16"/>
                <w:szCs w:val="16"/>
              </w:rPr>
            </w:pPr>
            <w:r>
              <w:rPr>
                <w:color w:val="000000"/>
                <w:sz w:val="16"/>
                <w:szCs w:val="16"/>
              </w:rPr>
              <w:t>2.71 (2.22–3.11)</w:t>
            </w:r>
          </w:p>
        </w:tc>
        <w:tc>
          <w:tcPr>
            <w:tcW w:w="0" w:type="auto"/>
            <w:tcBorders>
              <w:top w:val="nil"/>
              <w:left w:val="nil"/>
              <w:bottom w:val="nil"/>
              <w:right w:val="nil"/>
            </w:tcBorders>
            <w:vAlign w:val="center"/>
          </w:tcPr>
          <w:p w14:paraId="0B660185">
            <w:pPr>
              <w:jc w:val="center"/>
              <w:rPr>
                <w:color w:val="000000"/>
                <w:sz w:val="16"/>
                <w:szCs w:val="16"/>
              </w:rPr>
            </w:pPr>
            <w:r>
              <w:rPr>
                <w:color w:val="000000"/>
                <w:sz w:val="16"/>
                <w:szCs w:val="16"/>
              </w:rPr>
              <w:t>2.38 (1.91–2.64)</w:t>
            </w:r>
          </w:p>
        </w:tc>
        <w:tc>
          <w:tcPr>
            <w:tcW w:w="0" w:type="auto"/>
            <w:tcBorders>
              <w:top w:val="nil"/>
              <w:left w:val="nil"/>
              <w:bottom w:val="nil"/>
              <w:right w:val="nil"/>
            </w:tcBorders>
            <w:vAlign w:val="center"/>
          </w:tcPr>
          <w:p w14:paraId="6354F9C5">
            <w:pPr>
              <w:jc w:val="center"/>
              <w:rPr>
                <w:color w:val="000000"/>
                <w:sz w:val="16"/>
                <w:szCs w:val="16"/>
              </w:rPr>
            </w:pPr>
            <w:r>
              <w:rPr>
                <w:color w:val="000000"/>
                <w:sz w:val="16"/>
                <w:szCs w:val="16"/>
              </w:rPr>
              <w:t>2.44 (2.06–3.19)</w:t>
            </w:r>
          </w:p>
        </w:tc>
        <w:tc>
          <w:tcPr>
            <w:tcW w:w="0" w:type="auto"/>
            <w:tcBorders>
              <w:top w:val="nil"/>
              <w:left w:val="nil"/>
              <w:bottom w:val="nil"/>
              <w:right w:val="nil"/>
            </w:tcBorders>
            <w:vAlign w:val="center"/>
          </w:tcPr>
          <w:p w14:paraId="4DFEEC15">
            <w:pPr>
              <w:jc w:val="center"/>
              <w:rPr>
                <w:color w:val="000000"/>
                <w:sz w:val="16"/>
                <w:szCs w:val="16"/>
              </w:rPr>
            </w:pPr>
            <w:r>
              <w:rPr>
                <w:color w:val="000000"/>
                <w:sz w:val="16"/>
                <w:szCs w:val="16"/>
              </w:rPr>
              <w:t>1.87 (1.75–2.14)</w:t>
            </w:r>
          </w:p>
        </w:tc>
        <w:tc>
          <w:tcPr>
            <w:tcW w:w="0" w:type="auto"/>
            <w:tcBorders>
              <w:top w:val="nil"/>
              <w:left w:val="nil"/>
              <w:bottom w:val="nil"/>
              <w:right w:val="nil"/>
            </w:tcBorders>
            <w:noWrap/>
            <w:vAlign w:val="center"/>
          </w:tcPr>
          <w:p w14:paraId="47B3C296">
            <w:pPr>
              <w:jc w:val="center"/>
              <w:rPr>
                <w:color w:val="000000"/>
                <w:sz w:val="16"/>
                <w:szCs w:val="16"/>
              </w:rPr>
            </w:pPr>
            <w:r>
              <w:rPr>
                <w:color w:val="000000"/>
                <w:sz w:val="16"/>
                <w:szCs w:val="16"/>
              </w:rPr>
              <w:t>0.019</w:t>
            </w:r>
            <w:r>
              <w:rPr>
                <w:color w:val="000000"/>
                <w:sz w:val="16"/>
                <w:szCs w:val="16"/>
                <w:vertAlign w:val="superscript"/>
              </w:rPr>
              <w:t>a</w:t>
            </w:r>
          </w:p>
        </w:tc>
      </w:tr>
      <w:tr w14:paraId="7215E8EC">
        <w:trPr>
          <w:trHeight w:val="283" w:hRule="atLeast"/>
        </w:trPr>
        <w:tc>
          <w:tcPr>
            <w:tcW w:w="0" w:type="auto"/>
            <w:vMerge w:val="continue"/>
            <w:tcBorders>
              <w:left w:val="nil"/>
              <w:right w:val="nil"/>
            </w:tcBorders>
            <w:vAlign w:val="center"/>
          </w:tcPr>
          <w:p w14:paraId="7603A1B4">
            <w:pPr>
              <w:jc w:val="center"/>
              <w:rPr>
                <w:color w:val="000000"/>
                <w:sz w:val="16"/>
                <w:szCs w:val="16"/>
              </w:rPr>
            </w:pPr>
          </w:p>
        </w:tc>
        <w:tc>
          <w:tcPr>
            <w:tcW w:w="0" w:type="auto"/>
            <w:tcBorders>
              <w:top w:val="nil"/>
              <w:left w:val="nil"/>
              <w:bottom w:val="nil"/>
              <w:right w:val="nil"/>
            </w:tcBorders>
            <w:vAlign w:val="center"/>
          </w:tcPr>
          <w:p w14:paraId="045F6836">
            <w:pPr>
              <w:jc w:val="center"/>
              <w:rPr>
                <w:color w:val="000000"/>
                <w:sz w:val="16"/>
                <w:szCs w:val="16"/>
              </w:rPr>
            </w:pPr>
            <w:r>
              <w:rPr>
                <w:color w:val="000000"/>
                <w:sz w:val="16"/>
                <w:szCs w:val="16"/>
              </w:rPr>
              <w:t>1.43 (0.94–1.87)</w:t>
            </w:r>
          </w:p>
        </w:tc>
        <w:tc>
          <w:tcPr>
            <w:tcW w:w="0" w:type="auto"/>
            <w:tcBorders>
              <w:top w:val="nil"/>
              <w:left w:val="nil"/>
              <w:bottom w:val="nil"/>
              <w:right w:val="nil"/>
            </w:tcBorders>
            <w:vAlign w:val="center"/>
          </w:tcPr>
          <w:p w14:paraId="5B2D8FCB">
            <w:pPr>
              <w:jc w:val="center"/>
              <w:rPr>
                <w:color w:val="000000"/>
                <w:sz w:val="16"/>
                <w:szCs w:val="16"/>
              </w:rPr>
            </w:pPr>
            <w:r>
              <w:rPr>
                <w:color w:val="000000"/>
                <w:sz w:val="16"/>
                <w:szCs w:val="16"/>
              </w:rPr>
              <w:t>1.22 (1.06–2.06)</w:t>
            </w:r>
          </w:p>
        </w:tc>
        <w:tc>
          <w:tcPr>
            <w:tcW w:w="0" w:type="auto"/>
            <w:tcBorders>
              <w:top w:val="nil"/>
              <w:left w:val="nil"/>
              <w:bottom w:val="nil"/>
              <w:right w:val="nil"/>
            </w:tcBorders>
            <w:noWrap/>
            <w:vAlign w:val="center"/>
          </w:tcPr>
          <w:p w14:paraId="7DF25714">
            <w:pPr>
              <w:jc w:val="center"/>
              <w:rPr>
                <w:color w:val="000000"/>
                <w:sz w:val="16"/>
                <w:szCs w:val="16"/>
              </w:rPr>
            </w:pPr>
            <w:r>
              <w:rPr>
                <w:color w:val="000000"/>
                <w:sz w:val="16"/>
                <w:szCs w:val="16"/>
              </w:rPr>
              <w:t>1.11 (0.81–1.26)</w:t>
            </w:r>
          </w:p>
        </w:tc>
        <w:tc>
          <w:tcPr>
            <w:tcW w:w="0" w:type="auto"/>
            <w:tcBorders>
              <w:top w:val="nil"/>
              <w:left w:val="nil"/>
              <w:bottom w:val="nil"/>
              <w:right w:val="nil"/>
            </w:tcBorders>
            <w:vAlign w:val="center"/>
          </w:tcPr>
          <w:p w14:paraId="55038F87">
            <w:pPr>
              <w:jc w:val="center"/>
              <w:rPr>
                <w:color w:val="000000"/>
                <w:sz w:val="16"/>
                <w:szCs w:val="16"/>
              </w:rPr>
            </w:pPr>
            <w:r>
              <w:rPr>
                <w:color w:val="000000"/>
                <w:sz w:val="16"/>
                <w:szCs w:val="16"/>
              </w:rPr>
              <w:t>0.79 (0.59–0.83)</w:t>
            </w:r>
          </w:p>
        </w:tc>
        <w:tc>
          <w:tcPr>
            <w:tcW w:w="0" w:type="auto"/>
            <w:tcBorders>
              <w:top w:val="nil"/>
              <w:left w:val="nil"/>
              <w:bottom w:val="nil"/>
              <w:right w:val="nil"/>
            </w:tcBorders>
            <w:noWrap/>
            <w:vAlign w:val="center"/>
          </w:tcPr>
          <w:p w14:paraId="04A6123A">
            <w:pPr>
              <w:jc w:val="center"/>
              <w:rPr>
                <w:color w:val="000000"/>
                <w:sz w:val="16"/>
                <w:szCs w:val="16"/>
              </w:rPr>
            </w:pPr>
            <w:r>
              <w:rPr>
                <w:color w:val="000000"/>
                <w:sz w:val="16"/>
                <w:szCs w:val="16"/>
              </w:rPr>
              <w:t>0.0065</w:t>
            </w:r>
            <w:r>
              <w:rPr>
                <w:color w:val="000000"/>
                <w:sz w:val="16"/>
                <w:szCs w:val="16"/>
                <w:vertAlign w:val="superscript"/>
              </w:rPr>
              <w:t>a</w:t>
            </w:r>
          </w:p>
        </w:tc>
      </w:tr>
      <w:tr w14:paraId="35998900">
        <w:trPr>
          <w:trHeight w:val="283" w:hRule="atLeast"/>
        </w:trPr>
        <w:tc>
          <w:tcPr>
            <w:tcW w:w="0" w:type="auto"/>
            <w:vMerge w:val="continue"/>
            <w:tcBorders>
              <w:left w:val="nil"/>
              <w:right w:val="nil"/>
            </w:tcBorders>
            <w:vAlign w:val="center"/>
          </w:tcPr>
          <w:p w14:paraId="4D95AC3B">
            <w:pPr>
              <w:jc w:val="center"/>
              <w:rPr>
                <w:color w:val="000000"/>
                <w:sz w:val="16"/>
                <w:szCs w:val="16"/>
              </w:rPr>
            </w:pPr>
          </w:p>
        </w:tc>
        <w:tc>
          <w:tcPr>
            <w:tcW w:w="0" w:type="auto"/>
            <w:tcBorders>
              <w:top w:val="nil"/>
              <w:left w:val="nil"/>
              <w:bottom w:val="nil"/>
              <w:right w:val="nil"/>
            </w:tcBorders>
            <w:vAlign w:val="center"/>
          </w:tcPr>
          <w:p w14:paraId="01FD2F13">
            <w:pPr>
              <w:rPr>
                <w:color w:val="000000"/>
                <w:sz w:val="16"/>
                <w:szCs w:val="16"/>
              </w:rPr>
            </w:pPr>
          </w:p>
        </w:tc>
        <w:tc>
          <w:tcPr>
            <w:tcW w:w="0" w:type="auto"/>
            <w:tcBorders>
              <w:top w:val="nil"/>
              <w:left w:val="nil"/>
              <w:bottom w:val="nil"/>
              <w:right w:val="nil"/>
            </w:tcBorders>
            <w:vAlign w:val="center"/>
          </w:tcPr>
          <w:p w14:paraId="6903A4FF">
            <w:pPr>
              <w:jc w:val="center"/>
              <w:rPr>
                <w:rFonts w:eastAsia="Times New Roman"/>
                <w:sz w:val="16"/>
                <w:szCs w:val="16"/>
              </w:rPr>
            </w:pPr>
          </w:p>
        </w:tc>
        <w:tc>
          <w:tcPr>
            <w:tcW w:w="0" w:type="auto"/>
            <w:tcBorders>
              <w:top w:val="nil"/>
              <w:left w:val="nil"/>
              <w:bottom w:val="nil"/>
              <w:right w:val="nil"/>
            </w:tcBorders>
            <w:noWrap/>
            <w:vAlign w:val="center"/>
          </w:tcPr>
          <w:p w14:paraId="4BDDB436">
            <w:pPr>
              <w:jc w:val="center"/>
              <w:rPr>
                <w:rFonts w:eastAsia="Times New Roman"/>
                <w:sz w:val="16"/>
                <w:szCs w:val="16"/>
              </w:rPr>
            </w:pPr>
          </w:p>
        </w:tc>
        <w:tc>
          <w:tcPr>
            <w:tcW w:w="0" w:type="auto"/>
            <w:tcBorders>
              <w:top w:val="nil"/>
              <w:left w:val="nil"/>
              <w:bottom w:val="nil"/>
              <w:right w:val="nil"/>
            </w:tcBorders>
            <w:vAlign w:val="center"/>
          </w:tcPr>
          <w:p w14:paraId="135769D7">
            <w:pPr>
              <w:jc w:val="center"/>
              <w:rPr>
                <w:rFonts w:eastAsia="Times New Roman"/>
                <w:sz w:val="16"/>
                <w:szCs w:val="16"/>
              </w:rPr>
            </w:pPr>
          </w:p>
        </w:tc>
        <w:tc>
          <w:tcPr>
            <w:tcW w:w="0" w:type="auto"/>
            <w:tcBorders>
              <w:top w:val="nil"/>
              <w:left w:val="nil"/>
              <w:bottom w:val="nil"/>
              <w:right w:val="nil"/>
            </w:tcBorders>
            <w:noWrap/>
            <w:vAlign w:val="center"/>
          </w:tcPr>
          <w:p w14:paraId="1B841800">
            <w:pPr>
              <w:rPr>
                <w:rFonts w:eastAsia="Times New Roman"/>
                <w:sz w:val="16"/>
                <w:szCs w:val="16"/>
              </w:rPr>
            </w:pPr>
          </w:p>
        </w:tc>
      </w:tr>
      <w:tr w14:paraId="6B6F2843">
        <w:trPr>
          <w:trHeight w:val="283" w:hRule="atLeast"/>
        </w:trPr>
        <w:tc>
          <w:tcPr>
            <w:tcW w:w="0" w:type="auto"/>
            <w:vMerge w:val="continue"/>
            <w:tcBorders>
              <w:left w:val="nil"/>
              <w:right w:val="nil"/>
            </w:tcBorders>
            <w:vAlign w:val="center"/>
          </w:tcPr>
          <w:p w14:paraId="5E298609">
            <w:pPr>
              <w:jc w:val="center"/>
              <w:rPr>
                <w:color w:val="000000"/>
                <w:sz w:val="16"/>
                <w:szCs w:val="16"/>
              </w:rPr>
            </w:pPr>
          </w:p>
        </w:tc>
        <w:tc>
          <w:tcPr>
            <w:tcW w:w="0" w:type="auto"/>
            <w:tcBorders>
              <w:top w:val="nil"/>
              <w:left w:val="nil"/>
              <w:bottom w:val="nil"/>
              <w:right w:val="nil"/>
            </w:tcBorders>
            <w:vAlign w:val="center"/>
          </w:tcPr>
          <w:p w14:paraId="7A07FA95">
            <w:pPr>
              <w:jc w:val="center"/>
              <w:rPr>
                <w:color w:val="000000"/>
                <w:sz w:val="16"/>
                <w:szCs w:val="16"/>
              </w:rPr>
            </w:pPr>
            <w:r>
              <w:rPr>
                <w:color w:val="000000"/>
                <w:sz w:val="16"/>
                <w:szCs w:val="16"/>
              </w:rPr>
              <w:t>54625 (37135.5–62168)</w:t>
            </w:r>
          </w:p>
        </w:tc>
        <w:tc>
          <w:tcPr>
            <w:tcW w:w="0" w:type="auto"/>
            <w:tcBorders>
              <w:top w:val="nil"/>
              <w:left w:val="nil"/>
              <w:bottom w:val="nil"/>
              <w:right w:val="nil"/>
            </w:tcBorders>
            <w:vAlign w:val="center"/>
          </w:tcPr>
          <w:p w14:paraId="1F2514E0">
            <w:pPr>
              <w:jc w:val="center"/>
              <w:rPr>
                <w:color w:val="000000"/>
                <w:sz w:val="16"/>
                <w:szCs w:val="16"/>
              </w:rPr>
            </w:pPr>
            <w:r>
              <w:rPr>
                <w:color w:val="000000"/>
                <w:sz w:val="16"/>
                <w:szCs w:val="16"/>
              </w:rPr>
              <w:t>28585 (18781–51636)</w:t>
            </w:r>
          </w:p>
        </w:tc>
        <w:tc>
          <w:tcPr>
            <w:tcW w:w="0" w:type="auto"/>
            <w:tcBorders>
              <w:top w:val="nil"/>
              <w:left w:val="nil"/>
              <w:bottom w:val="nil"/>
              <w:right w:val="nil"/>
            </w:tcBorders>
            <w:noWrap/>
            <w:vAlign w:val="center"/>
          </w:tcPr>
          <w:p w14:paraId="6C9E9AD5">
            <w:pPr>
              <w:jc w:val="center"/>
              <w:rPr>
                <w:color w:val="000000"/>
                <w:sz w:val="16"/>
                <w:szCs w:val="16"/>
              </w:rPr>
            </w:pPr>
            <w:r>
              <w:rPr>
                <w:color w:val="000000"/>
                <w:sz w:val="16"/>
                <w:szCs w:val="16"/>
              </w:rPr>
              <w:t>26854 (1865.40–39516.25)</w:t>
            </w:r>
          </w:p>
        </w:tc>
        <w:tc>
          <w:tcPr>
            <w:tcW w:w="0" w:type="auto"/>
            <w:tcBorders>
              <w:top w:val="nil"/>
              <w:left w:val="nil"/>
              <w:bottom w:val="nil"/>
              <w:right w:val="nil"/>
            </w:tcBorders>
            <w:vAlign w:val="center"/>
          </w:tcPr>
          <w:p w14:paraId="1BA6C5D5">
            <w:pPr>
              <w:jc w:val="center"/>
              <w:rPr>
                <w:color w:val="000000"/>
                <w:sz w:val="16"/>
                <w:szCs w:val="16"/>
              </w:rPr>
            </w:pPr>
            <w:r>
              <w:rPr>
                <w:color w:val="000000"/>
                <w:sz w:val="16"/>
                <w:szCs w:val="16"/>
              </w:rPr>
              <w:t>16824 (11847–21731.25)</w:t>
            </w:r>
          </w:p>
        </w:tc>
        <w:tc>
          <w:tcPr>
            <w:tcW w:w="0" w:type="auto"/>
            <w:tcBorders>
              <w:top w:val="nil"/>
              <w:left w:val="nil"/>
              <w:bottom w:val="nil"/>
              <w:right w:val="nil"/>
            </w:tcBorders>
            <w:noWrap/>
            <w:vAlign w:val="center"/>
          </w:tcPr>
          <w:p w14:paraId="680037F2">
            <w:pPr>
              <w:jc w:val="center"/>
              <w:rPr>
                <w:color w:val="000000"/>
                <w:sz w:val="16"/>
                <w:szCs w:val="16"/>
              </w:rPr>
            </w:pPr>
            <w:r>
              <w:rPr>
                <w:color w:val="000000"/>
                <w:sz w:val="16"/>
                <w:szCs w:val="16"/>
              </w:rPr>
              <w:t>&lt;0.0001</w:t>
            </w:r>
            <w:r>
              <w:rPr>
                <w:color w:val="000000"/>
                <w:sz w:val="16"/>
                <w:szCs w:val="16"/>
                <w:vertAlign w:val="superscript"/>
              </w:rPr>
              <w:t>a</w:t>
            </w:r>
          </w:p>
        </w:tc>
      </w:tr>
      <w:tr w14:paraId="3643DA3A">
        <w:trPr>
          <w:trHeight w:val="283" w:hRule="atLeast"/>
        </w:trPr>
        <w:tc>
          <w:tcPr>
            <w:tcW w:w="0" w:type="auto"/>
            <w:vMerge w:val="continue"/>
            <w:tcBorders>
              <w:left w:val="nil"/>
              <w:right w:val="nil"/>
            </w:tcBorders>
            <w:vAlign w:val="center"/>
          </w:tcPr>
          <w:p w14:paraId="22687B04">
            <w:pPr>
              <w:jc w:val="center"/>
              <w:rPr>
                <w:color w:val="000000"/>
                <w:sz w:val="16"/>
                <w:szCs w:val="16"/>
              </w:rPr>
            </w:pPr>
          </w:p>
        </w:tc>
        <w:tc>
          <w:tcPr>
            <w:tcW w:w="0" w:type="auto"/>
            <w:tcBorders>
              <w:top w:val="nil"/>
              <w:left w:val="nil"/>
              <w:bottom w:val="nil"/>
              <w:right w:val="nil"/>
            </w:tcBorders>
            <w:vAlign w:val="center"/>
          </w:tcPr>
          <w:p w14:paraId="1D4418DB">
            <w:pPr>
              <w:jc w:val="center"/>
              <w:rPr>
                <w:color w:val="000000"/>
                <w:sz w:val="16"/>
                <w:szCs w:val="16"/>
              </w:rPr>
            </w:pPr>
            <w:r>
              <w:rPr>
                <w:color w:val="000000"/>
                <w:sz w:val="16"/>
                <w:szCs w:val="16"/>
              </w:rPr>
              <w:t xml:space="preserve">12295 </w:t>
            </w:r>
            <w:r>
              <w:rPr>
                <w:rFonts w:eastAsia="宋体-简"/>
                <w:color w:val="000000"/>
                <w:sz w:val="16"/>
                <w:szCs w:val="16"/>
              </w:rPr>
              <w:t>(</w:t>
            </w:r>
            <w:r>
              <w:rPr>
                <w:color w:val="000000"/>
                <w:sz w:val="16"/>
                <w:szCs w:val="16"/>
              </w:rPr>
              <w:t>9186.75–14898.75</w:t>
            </w:r>
            <w:r>
              <w:rPr>
                <w:rFonts w:eastAsia="宋体-简"/>
                <w:color w:val="000000"/>
                <w:sz w:val="16"/>
                <w:szCs w:val="16"/>
              </w:rPr>
              <w:t>)</w:t>
            </w:r>
          </w:p>
        </w:tc>
        <w:tc>
          <w:tcPr>
            <w:tcW w:w="0" w:type="auto"/>
            <w:tcBorders>
              <w:top w:val="nil"/>
              <w:left w:val="nil"/>
              <w:bottom w:val="nil"/>
              <w:right w:val="nil"/>
            </w:tcBorders>
            <w:vAlign w:val="center"/>
          </w:tcPr>
          <w:p w14:paraId="587A3936">
            <w:pPr>
              <w:jc w:val="center"/>
              <w:rPr>
                <w:color w:val="000000"/>
                <w:sz w:val="16"/>
                <w:szCs w:val="16"/>
              </w:rPr>
            </w:pPr>
            <w:r>
              <w:rPr>
                <w:color w:val="000000"/>
                <w:sz w:val="16"/>
                <w:szCs w:val="16"/>
              </w:rPr>
              <w:t>8540 (6328–11458)</w:t>
            </w:r>
          </w:p>
        </w:tc>
        <w:tc>
          <w:tcPr>
            <w:tcW w:w="0" w:type="auto"/>
            <w:tcBorders>
              <w:top w:val="nil"/>
              <w:left w:val="nil"/>
              <w:bottom w:val="nil"/>
              <w:right w:val="nil"/>
            </w:tcBorders>
            <w:noWrap/>
            <w:vAlign w:val="center"/>
          </w:tcPr>
          <w:p w14:paraId="63F1BA89">
            <w:pPr>
              <w:jc w:val="center"/>
              <w:rPr>
                <w:color w:val="000000"/>
                <w:sz w:val="16"/>
                <w:szCs w:val="16"/>
              </w:rPr>
            </w:pPr>
            <w:r>
              <w:rPr>
                <w:color w:val="000000"/>
                <w:sz w:val="16"/>
                <w:szCs w:val="16"/>
              </w:rPr>
              <w:t>9076 (6605–11171)</w:t>
            </w:r>
          </w:p>
        </w:tc>
        <w:tc>
          <w:tcPr>
            <w:tcW w:w="0" w:type="auto"/>
            <w:tcBorders>
              <w:top w:val="nil"/>
              <w:left w:val="nil"/>
              <w:bottom w:val="nil"/>
              <w:right w:val="nil"/>
            </w:tcBorders>
            <w:vAlign w:val="center"/>
          </w:tcPr>
          <w:p w14:paraId="4B8E0584">
            <w:pPr>
              <w:jc w:val="center"/>
              <w:rPr>
                <w:color w:val="000000"/>
                <w:sz w:val="16"/>
                <w:szCs w:val="16"/>
              </w:rPr>
            </w:pPr>
            <w:r>
              <w:rPr>
                <w:color w:val="000000"/>
                <w:sz w:val="16"/>
                <w:szCs w:val="16"/>
              </w:rPr>
              <w:t>5450 (4206.75–6837.25)</w:t>
            </w:r>
          </w:p>
        </w:tc>
        <w:tc>
          <w:tcPr>
            <w:tcW w:w="0" w:type="auto"/>
            <w:tcBorders>
              <w:top w:val="nil"/>
              <w:left w:val="nil"/>
              <w:bottom w:val="nil"/>
              <w:right w:val="nil"/>
            </w:tcBorders>
            <w:noWrap/>
            <w:vAlign w:val="center"/>
          </w:tcPr>
          <w:p w14:paraId="22767A70">
            <w:pPr>
              <w:jc w:val="center"/>
              <w:rPr>
                <w:color w:val="000000"/>
                <w:sz w:val="16"/>
                <w:szCs w:val="16"/>
              </w:rPr>
            </w:pPr>
            <w:r>
              <w:rPr>
                <w:color w:val="000000"/>
                <w:sz w:val="16"/>
                <w:szCs w:val="16"/>
              </w:rPr>
              <w:t>&lt;0.0001</w:t>
            </w:r>
            <w:r>
              <w:rPr>
                <w:color w:val="000000"/>
                <w:sz w:val="16"/>
                <w:szCs w:val="16"/>
                <w:vertAlign w:val="superscript"/>
              </w:rPr>
              <w:t>a</w:t>
            </w:r>
          </w:p>
        </w:tc>
      </w:tr>
      <w:tr w14:paraId="41471DAC">
        <w:trPr>
          <w:trHeight w:val="283" w:hRule="atLeast"/>
        </w:trPr>
        <w:tc>
          <w:tcPr>
            <w:tcW w:w="0" w:type="auto"/>
            <w:vMerge w:val="continue"/>
            <w:tcBorders>
              <w:left w:val="nil"/>
              <w:right w:val="nil"/>
            </w:tcBorders>
            <w:vAlign w:val="center"/>
          </w:tcPr>
          <w:p w14:paraId="6417BE1B">
            <w:pPr>
              <w:jc w:val="center"/>
              <w:rPr>
                <w:color w:val="000000"/>
                <w:sz w:val="16"/>
                <w:szCs w:val="16"/>
              </w:rPr>
            </w:pPr>
          </w:p>
        </w:tc>
        <w:tc>
          <w:tcPr>
            <w:tcW w:w="0" w:type="auto"/>
            <w:tcBorders>
              <w:top w:val="nil"/>
              <w:left w:val="nil"/>
              <w:bottom w:val="nil"/>
              <w:right w:val="nil"/>
            </w:tcBorders>
            <w:vAlign w:val="center"/>
          </w:tcPr>
          <w:p w14:paraId="7DE5063E">
            <w:pPr>
              <w:jc w:val="center"/>
              <w:rPr>
                <w:color w:val="000000"/>
                <w:sz w:val="16"/>
                <w:szCs w:val="16"/>
              </w:rPr>
            </w:pPr>
            <w:r>
              <w:rPr>
                <w:color w:val="000000"/>
                <w:sz w:val="16"/>
                <w:szCs w:val="16"/>
              </w:rPr>
              <w:t xml:space="preserve">0.23 </w:t>
            </w:r>
            <w:r>
              <w:rPr>
                <w:rFonts w:eastAsia="宋体-简"/>
                <w:color w:val="000000"/>
                <w:sz w:val="16"/>
                <w:szCs w:val="16"/>
              </w:rPr>
              <w:t>(</w:t>
            </w:r>
            <w:r>
              <w:rPr>
                <w:color w:val="000000"/>
                <w:sz w:val="16"/>
                <w:szCs w:val="16"/>
              </w:rPr>
              <w:t>0.22–0.25</w:t>
            </w:r>
            <w:r>
              <w:rPr>
                <w:rFonts w:eastAsia="宋体-简"/>
                <w:color w:val="000000"/>
                <w:sz w:val="16"/>
                <w:szCs w:val="16"/>
              </w:rPr>
              <w:t>)</w:t>
            </w:r>
          </w:p>
        </w:tc>
        <w:tc>
          <w:tcPr>
            <w:tcW w:w="0" w:type="auto"/>
            <w:tcBorders>
              <w:top w:val="nil"/>
              <w:left w:val="nil"/>
              <w:bottom w:val="nil"/>
              <w:right w:val="nil"/>
            </w:tcBorders>
            <w:vAlign w:val="center"/>
          </w:tcPr>
          <w:p w14:paraId="562D8311">
            <w:pPr>
              <w:jc w:val="center"/>
              <w:rPr>
                <w:color w:val="000000"/>
                <w:sz w:val="16"/>
                <w:szCs w:val="16"/>
              </w:rPr>
            </w:pPr>
            <w:r>
              <w:rPr>
                <w:color w:val="000000"/>
                <w:sz w:val="16"/>
                <w:szCs w:val="16"/>
              </w:rPr>
              <w:t>0.27 (0.22–0.34)</w:t>
            </w:r>
          </w:p>
        </w:tc>
        <w:tc>
          <w:tcPr>
            <w:tcW w:w="0" w:type="auto"/>
            <w:tcBorders>
              <w:top w:val="nil"/>
              <w:left w:val="nil"/>
              <w:bottom w:val="nil"/>
              <w:right w:val="nil"/>
            </w:tcBorders>
            <w:noWrap/>
            <w:vAlign w:val="center"/>
          </w:tcPr>
          <w:p w14:paraId="2B09F779">
            <w:pPr>
              <w:jc w:val="center"/>
              <w:rPr>
                <w:color w:val="000000"/>
                <w:sz w:val="16"/>
                <w:szCs w:val="16"/>
              </w:rPr>
            </w:pPr>
            <w:r>
              <w:rPr>
                <w:color w:val="000000"/>
                <w:sz w:val="16"/>
                <w:szCs w:val="16"/>
              </w:rPr>
              <w:t>0.28 (0.24–0.36)</w:t>
            </w:r>
          </w:p>
        </w:tc>
        <w:tc>
          <w:tcPr>
            <w:tcW w:w="0" w:type="auto"/>
            <w:tcBorders>
              <w:top w:val="nil"/>
              <w:left w:val="nil"/>
              <w:bottom w:val="nil"/>
              <w:right w:val="nil"/>
            </w:tcBorders>
            <w:vAlign w:val="center"/>
          </w:tcPr>
          <w:p w14:paraId="38679DB2">
            <w:pPr>
              <w:jc w:val="center"/>
              <w:rPr>
                <w:color w:val="000000"/>
                <w:sz w:val="16"/>
                <w:szCs w:val="16"/>
              </w:rPr>
            </w:pPr>
            <w:r>
              <w:rPr>
                <w:color w:val="000000"/>
                <w:sz w:val="16"/>
                <w:szCs w:val="16"/>
              </w:rPr>
              <w:t>0.32 (0.29–0.37)</w:t>
            </w:r>
          </w:p>
        </w:tc>
        <w:tc>
          <w:tcPr>
            <w:tcW w:w="0" w:type="auto"/>
            <w:tcBorders>
              <w:top w:val="nil"/>
              <w:left w:val="nil"/>
              <w:right w:val="nil"/>
            </w:tcBorders>
            <w:noWrap/>
            <w:vAlign w:val="center"/>
          </w:tcPr>
          <w:p w14:paraId="7A198D1A">
            <w:pPr>
              <w:jc w:val="center"/>
              <w:rPr>
                <w:color w:val="000000"/>
                <w:sz w:val="16"/>
                <w:szCs w:val="16"/>
              </w:rPr>
            </w:pPr>
            <w:r>
              <w:rPr>
                <w:color w:val="000000"/>
                <w:sz w:val="16"/>
                <w:szCs w:val="16"/>
              </w:rPr>
              <w:t>&lt;0.0001</w:t>
            </w:r>
            <w:r>
              <w:rPr>
                <w:color w:val="000000"/>
                <w:sz w:val="16"/>
                <w:szCs w:val="16"/>
                <w:vertAlign w:val="superscript"/>
              </w:rPr>
              <w:t>a</w:t>
            </w:r>
          </w:p>
        </w:tc>
      </w:tr>
      <w:tr w14:paraId="369B8334">
        <w:trPr>
          <w:trHeight w:val="283" w:hRule="atLeast"/>
        </w:trPr>
        <w:tc>
          <w:tcPr>
            <w:tcW w:w="0" w:type="auto"/>
            <w:vMerge w:val="continue"/>
            <w:tcBorders>
              <w:left w:val="nil"/>
              <w:bottom w:val="single" w:color="000000" w:sz="4" w:space="0"/>
              <w:right w:val="nil"/>
            </w:tcBorders>
            <w:vAlign w:val="center"/>
          </w:tcPr>
          <w:p w14:paraId="604A39CE">
            <w:pPr>
              <w:jc w:val="center"/>
              <w:rPr>
                <w:color w:val="000000"/>
                <w:sz w:val="16"/>
                <w:szCs w:val="16"/>
              </w:rPr>
            </w:pPr>
          </w:p>
        </w:tc>
        <w:tc>
          <w:tcPr>
            <w:tcW w:w="0" w:type="auto"/>
            <w:tcBorders>
              <w:top w:val="nil"/>
              <w:left w:val="nil"/>
              <w:bottom w:val="single" w:color="000000" w:sz="4" w:space="0"/>
              <w:right w:val="nil"/>
            </w:tcBorders>
            <w:vAlign w:val="center"/>
          </w:tcPr>
          <w:p w14:paraId="1A988A60">
            <w:pPr>
              <w:jc w:val="center"/>
              <w:rPr>
                <w:color w:val="000000"/>
                <w:sz w:val="16"/>
                <w:szCs w:val="16"/>
              </w:rPr>
            </w:pPr>
            <w:r>
              <w:rPr>
                <w:color w:val="000000"/>
                <w:sz w:val="16"/>
                <w:szCs w:val="16"/>
              </w:rPr>
              <w:t>70.52 (68.79–75.02)</w:t>
            </w:r>
          </w:p>
        </w:tc>
        <w:tc>
          <w:tcPr>
            <w:tcW w:w="0" w:type="auto"/>
            <w:tcBorders>
              <w:top w:val="nil"/>
              <w:left w:val="nil"/>
              <w:bottom w:val="single" w:color="000000" w:sz="4" w:space="0"/>
              <w:right w:val="nil"/>
            </w:tcBorders>
            <w:vAlign w:val="center"/>
          </w:tcPr>
          <w:p w14:paraId="690145FC">
            <w:pPr>
              <w:jc w:val="center"/>
              <w:rPr>
                <w:color w:val="000000"/>
                <w:sz w:val="16"/>
                <w:szCs w:val="16"/>
              </w:rPr>
            </w:pPr>
            <w:r>
              <w:rPr>
                <w:color w:val="000000"/>
                <w:sz w:val="16"/>
                <w:szCs w:val="16"/>
              </w:rPr>
              <w:t>86.03 (83.74–88.39)</w:t>
            </w:r>
          </w:p>
        </w:tc>
        <w:tc>
          <w:tcPr>
            <w:tcW w:w="0" w:type="auto"/>
            <w:tcBorders>
              <w:top w:val="nil"/>
              <w:left w:val="nil"/>
              <w:bottom w:val="single" w:color="000000" w:sz="4" w:space="0"/>
              <w:right w:val="nil"/>
            </w:tcBorders>
            <w:noWrap/>
            <w:vAlign w:val="center"/>
          </w:tcPr>
          <w:p w14:paraId="70E6CED4">
            <w:pPr>
              <w:jc w:val="center"/>
              <w:rPr>
                <w:color w:val="000000"/>
                <w:sz w:val="16"/>
                <w:szCs w:val="16"/>
              </w:rPr>
            </w:pPr>
            <w:r>
              <w:rPr>
                <w:color w:val="000000"/>
                <w:sz w:val="16"/>
                <w:szCs w:val="16"/>
              </w:rPr>
              <w:t>94.79 (84.43–100.31)</w:t>
            </w:r>
          </w:p>
        </w:tc>
        <w:tc>
          <w:tcPr>
            <w:tcW w:w="0" w:type="auto"/>
            <w:tcBorders>
              <w:top w:val="nil"/>
              <w:left w:val="nil"/>
              <w:bottom w:val="single" w:color="000000" w:sz="4" w:space="0"/>
              <w:right w:val="nil"/>
            </w:tcBorders>
            <w:vAlign w:val="center"/>
          </w:tcPr>
          <w:p w14:paraId="619985A3">
            <w:pPr>
              <w:jc w:val="center"/>
              <w:rPr>
                <w:color w:val="000000"/>
                <w:sz w:val="16"/>
                <w:szCs w:val="16"/>
              </w:rPr>
            </w:pPr>
            <w:r>
              <w:rPr>
                <w:color w:val="000000"/>
                <w:sz w:val="16"/>
                <w:szCs w:val="16"/>
              </w:rPr>
              <w:t>131.53 (109.89–130.42)</w:t>
            </w:r>
          </w:p>
        </w:tc>
        <w:tc>
          <w:tcPr>
            <w:tcW w:w="0" w:type="auto"/>
            <w:tcBorders>
              <w:top w:val="nil"/>
              <w:left w:val="nil"/>
              <w:bottom w:val="single" w:color="auto" w:sz="4" w:space="0"/>
              <w:right w:val="nil"/>
            </w:tcBorders>
            <w:noWrap/>
            <w:vAlign w:val="center"/>
          </w:tcPr>
          <w:p w14:paraId="59A8AA56">
            <w:pPr>
              <w:jc w:val="center"/>
              <w:rPr>
                <w:color w:val="000000"/>
                <w:sz w:val="16"/>
                <w:szCs w:val="16"/>
              </w:rPr>
            </w:pPr>
            <w:r>
              <w:rPr>
                <w:color w:val="000000"/>
                <w:sz w:val="16"/>
                <w:szCs w:val="16"/>
              </w:rPr>
              <w:t>&lt;0.0001</w:t>
            </w:r>
            <w:r>
              <w:rPr>
                <w:color w:val="000000"/>
                <w:sz w:val="16"/>
                <w:szCs w:val="16"/>
                <w:vertAlign w:val="superscript"/>
              </w:rPr>
              <w:t>a</w:t>
            </w:r>
          </w:p>
        </w:tc>
      </w:tr>
    </w:tbl>
    <w:p w14:paraId="07053331">
      <w:pPr>
        <w:rPr>
          <w:color w:val="000000"/>
          <w:sz w:val="20"/>
          <w:szCs w:val="20"/>
        </w:rPr>
      </w:pPr>
      <w:r>
        <w:rPr>
          <w:color w:val="000000"/>
          <w:sz w:val="20"/>
          <w:szCs w:val="20"/>
        </w:rPr>
        <w:t>Continuous data are expressed as median (interquartile range, IQR) and dichotomous data as n (%).</w:t>
      </w:r>
    </w:p>
    <w:p w14:paraId="6D899559">
      <w:pPr>
        <w:rPr>
          <w:color w:val="000000"/>
          <w:sz w:val="20"/>
          <w:szCs w:val="20"/>
        </w:rPr>
      </w:pPr>
      <w:r>
        <w:rPr>
          <w:color w:val="000000"/>
          <w:sz w:val="20"/>
          <w:szCs w:val="20"/>
          <w:vertAlign w:val="superscript"/>
        </w:rPr>
        <w:t xml:space="preserve">a </w:t>
      </w:r>
      <w:r>
        <w:rPr>
          <w:color w:val="000000"/>
          <w:sz w:val="20"/>
          <w:szCs w:val="20"/>
        </w:rPr>
        <w:t>Kruskal–Wallis H test</w:t>
      </w:r>
    </w:p>
    <w:p w14:paraId="52335A29">
      <w:pPr>
        <w:widowControl/>
        <w:jc w:val="left"/>
        <w:rPr>
          <w:color w:val="000000"/>
          <w:sz w:val="20"/>
          <w:szCs w:val="20"/>
        </w:rPr>
      </w:pPr>
      <w:r>
        <w:rPr>
          <w:color w:val="000000"/>
          <w:sz w:val="20"/>
          <w:szCs w:val="20"/>
          <w:vertAlign w:val="superscript"/>
        </w:rPr>
        <w:t>b</w:t>
      </w:r>
      <w:r>
        <w:rPr>
          <w:color w:val="000000"/>
          <w:sz w:val="20"/>
          <w:szCs w:val="20"/>
        </w:rPr>
        <w:t xml:space="preserve"> Chi–square test</w:t>
      </w:r>
    </w:p>
    <w:p w14:paraId="1716C737">
      <w:pPr>
        <w:widowControl/>
        <w:jc w:val="left"/>
      </w:pPr>
      <w:r>
        <w:br w:type="page"/>
      </w:r>
    </w:p>
    <w:p w14:paraId="70E35BBB">
      <w:pPr>
        <w:ind w:left="102"/>
        <w:rPr>
          <w:b/>
          <w:bCs/>
          <w:sz w:val="20"/>
          <w:szCs w:val="20"/>
        </w:rPr>
      </w:pPr>
    </w:p>
    <w:p w14:paraId="5A65BB14">
      <w:pPr>
        <w:ind w:left="102"/>
        <w:rPr>
          <w:rFonts w:ascii="Arial" w:hAnsi="Arial" w:cs="Arial"/>
          <w:b/>
          <w:bCs/>
          <w:sz w:val="20"/>
          <w:szCs w:val="20"/>
        </w:rPr>
      </w:pPr>
      <w:r>
        <w:rPr>
          <w:b/>
          <w:bCs/>
          <w:sz w:val="20"/>
          <w:szCs w:val="20"/>
        </w:rPr>
        <w:t xml:space="preserve">Supplementary Table </w:t>
      </w:r>
      <w:r>
        <w:rPr>
          <w:rFonts w:hint="eastAsia"/>
          <w:b/>
          <w:bCs/>
          <w:sz w:val="20"/>
          <w:szCs w:val="20"/>
          <w:lang w:val="en-US" w:eastAsia="zh-CN"/>
        </w:rPr>
        <w:t>3</w:t>
      </w:r>
      <w:r>
        <w:rPr>
          <w:rFonts w:hint="eastAsia"/>
          <w:b/>
          <w:bCs/>
          <w:sz w:val="20"/>
          <w:szCs w:val="20"/>
        </w:rPr>
        <w:t>:</w:t>
      </w:r>
      <w:r>
        <w:rPr>
          <w:b/>
          <w:bCs/>
          <w:sz w:val="20"/>
          <w:szCs w:val="20"/>
        </w:rPr>
        <w:t xml:space="preserve"> </w:t>
      </w:r>
      <w:r>
        <w:rPr>
          <w:b/>
          <w:bCs/>
          <w:color w:val="000000"/>
          <w:sz w:val="20"/>
          <w:szCs w:val="20"/>
        </w:rPr>
        <w:t>Distribution of Gra</w:t>
      </w:r>
      <w:r>
        <w:rPr>
          <w:rFonts w:hint="eastAsia"/>
          <w:b/>
          <w:bCs/>
          <w:color w:val="000000"/>
          <w:sz w:val="20"/>
          <w:szCs w:val="20"/>
        </w:rPr>
        <w:t>y–value</w:t>
      </w:r>
      <w:r>
        <w:rPr>
          <w:b/>
          <w:bCs/>
          <w:color w:val="000000"/>
          <w:sz w:val="20"/>
          <w:szCs w:val="20"/>
        </w:rPr>
        <w:t xml:space="preserve"> Histogram Parameters </w:t>
      </w:r>
      <w:r>
        <w:rPr>
          <w:rFonts w:hint="eastAsia"/>
          <w:b/>
          <w:bCs/>
          <w:color w:val="000000"/>
          <w:sz w:val="20"/>
          <w:szCs w:val="20"/>
        </w:rPr>
        <w:t>across the thymic</w:t>
      </w:r>
      <w:r>
        <w:rPr>
          <w:b/>
          <w:bCs/>
          <w:color w:val="000000"/>
          <w:sz w:val="20"/>
          <w:szCs w:val="20"/>
        </w:rPr>
        <w:t xml:space="preserve"> score</w:t>
      </w:r>
      <w:r>
        <w:rPr>
          <w:rFonts w:hint="eastAsia"/>
          <w:b/>
          <w:bCs/>
          <w:color w:val="000000"/>
          <w:sz w:val="20"/>
          <w:szCs w:val="20"/>
        </w:rPr>
        <w:t xml:space="preserve"> groups.</w:t>
      </w:r>
    </w:p>
    <w:tbl>
      <w:tblPr>
        <w:tblStyle w:val="13"/>
        <w:tblW w:w="0" w:type="auto"/>
        <w:tblInd w:w="0" w:type="dxa"/>
        <w:tblLayout w:type="autofit"/>
        <w:tblCellMar>
          <w:top w:w="0" w:type="dxa"/>
          <w:left w:w="108" w:type="dxa"/>
          <w:bottom w:w="0" w:type="dxa"/>
          <w:right w:w="108" w:type="dxa"/>
        </w:tblCellMar>
      </w:tblPr>
      <w:tblGrid>
        <w:gridCol w:w="1270"/>
        <w:gridCol w:w="1763"/>
        <w:gridCol w:w="1763"/>
        <w:gridCol w:w="1763"/>
        <w:gridCol w:w="1763"/>
        <w:gridCol w:w="747"/>
      </w:tblGrid>
      <w:tr w14:paraId="4EF506E6">
        <w:trPr>
          <w:trHeight w:val="360" w:hRule="atLeast"/>
        </w:trPr>
        <w:tc>
          <w:tcPr>
            <w:tcW w:w="0" w:type="auto"/>
            <w:tcBorders>
              <w:top w:val="single" w:color="auto" w:sz="4" w:space="0"/>
              <w:left w:val="nil"/>
              <w:bottom w:val="single" w:color="000000" w:sz="4" w:space="0"/>
              <w:right w:val="nil"/>
            </w:tcBorders>
            <w:vAlign w:val="center"/>
          </w:tcPr>
          <w:p w14:paraId="0BC6CA0E">
            <w:pPr>
              <w:jc w:val="center"/>
              <w:rPr>
                <w:color w:val="404040"/>
                <w:sz w:val="16"/>
                <w:szCs w:val="16"/>
                <w14:ligatures w14:val="standardContextual"/>
              </w:rPr>
            </w:pPr>
            <w:r>
              <w:rPr>
                <w:color w:val="404040"/>
                <w:sz w:val="16"/>
                <w:szCs w:val="16"/>
                <w14:ligatures w14:val="standardContextual"/>
              </w:rPr>
              <w:t>Parameter</w:t>
            </w:r>
          </w:p>
        </w:tc>
        <w:tc>
          <w:tcPr>
            <w:tcW w:w="0" w:type="auto"/>
            <w:tcBorders>
              <w:top w:val="single" w:color="auto" w:sz="4" w:space="0"/>
              <w:left w:val="nil"/>
              <w:bottom w:val="single" w:color="000000" w:sz="4" w:space="0"/>
              <w:right w:val="nil"/>
            </w:tcBorders>
            <w:vAlign w:val="center"/>
          </w:tcPr>
          <w:p w14:paraId="6442421E">
            <w:pPr>
              <w:jc w:val="center"/>
              <w:rPr>
                <w:color w:val="404040"/>
                <w:sz w:val="16"/>
                <w:szCs w:val="16"/>
                <w14:ligatures w14:val="standardContextual"/>
              </w:rPr>
            </w:pPr>
            <w:r>
              <w:rPr>
                <w:color w:val="404040"/>
                <w:sz w:val="16"/>
                <w:szCs w:val="16"/>
                <w14:ligatures w14:val="standardContextual"/>
              </w:rPr>
              <w:t>score 0 (n=43)</w:t>
            </w:r>
          </w:p>
        </w:tc>
        <w:tc>
          <w:tcPr>
            <w:tcW w:w="0" w:type="auto"/>
            <w:tcBorders>
              <w:top w:val="single" w:color="auto" w:sz="4" w:space="0"/>
              <w:left w:val="nil"/>
              <w:bottom w:val="single" w:color="000000" w:sz="4" w:space="0"/>
              <w:right w:val="nil"/>
            </w:tcBorders>
            <w:vAlign w:val="center"/>
          </w:tcPr>
          <w:p w14:paraId="5CEF5A3B">
            <w:pPr>
              <w:jc w:val="center"/>
              <w:rPr>
                <w:color w:val="404040"/>
                <w:sz w:val="16"/>
                <w:szCs w:val="16"/>
                <w14:ligatures w14:val="standardContextual"/>
              </w:rPr>
            </w:pPr>
            <w:r>
              <w:rPr>
                <w:color w:val="404040"/>
                <w:sz w:val="16"/>
                <w:szCs w:val="16"/>
                <w14:ligatures w14:val="standardContextual"/>
              </w:rPr>
              <w:t>score 1 (n=13)</w:t>
            </w:r>
          </w:p>
        </w:tc>
        <w:tc>
          <w:tcPr>
            <w:tcW w:w="0" w:type="auto"/>
            <w:tcBorders>
              <w:top w:val="single" w:color="auto" w:sz="4" w:space="0"/>
              <w:left w:val="nil"/>
              <w:bottom w:val="single" w:color="000000" w:sz="4" w:space="0"/>
              <w:right w:val="nil"/>
            </w:tcBorders>
            <w:vAlign w:val="center"/>
          </w:tcPr>
          <w:p w14:paraId="65656166">
            <w:pPr>
              <w:jc w:val="center"/>
              <w:rPr>
                <w:color w:val="404040"/>
                <w:sz w:val="16"/>
                <w:szCs w:val="16"/>
                <w14:ligatures w14:val="standardContextual"/>
              </w:rPr>
            </w:pPr>
            <w:r>
              <w:rPr>
                <w:color w:val="404040"/>
                <w:sz w:val="16"/>
                <w:szCs w:val="16"/>
                <w14:ligatures w14:val="standardContextual"/>
              </w:rPr>
              <w:t>score 2 (n=13)</w:t>
            </w:r>
          </w:p>
        </w:tc>
        <w:tc>
          <w:tcPr>
            <w:tcW w:w="0" w:type="auto"/>
            <w:tcBorders>
              <w:top w:val="single" w:color="auto" w:sz="4" w:space="0"/>
              <w:left w:val="nil"/>
              <w:bottom w:val="single" w:color="000000" w:sz="4" w:space="0"/>
              <w:right w:val="nil"/>
            </w:tcBorders>
            <w:vAlign w:val="center"/>
          </w:tcPr>
          <w:p w14:paraId="7D566955">
            <w:pPr>
              <w:jc w:val="center"/>
              <w:rPr>
                <w:color w:val="404040"/>
                <w:sz w:val="16"/>
                <w:szCs w:val="16"/>
                <w14:ligatures w14:val="standardContextual"/>
              </w:rPr>
            </w:pPr>
            <w:r>
              <w:rPr>
                <w:color w:val="404040"/>
                <w:sz w:val="16"/>
                <w:szCs w:val="16"/>
                <w14:ligatures w14:val="standardContextual"/>
              </w:rPr>
              <w:t>score 3 (n=6)</w:t>
            </w:r>
          </w:p>
        </w:tc>
        <w:tc>
          <w:tcPr>
            <w:tcW w:w="0" w:type="auto"/>
            <w:tcBorders>
              <w:top w:val="single" w:color="auto" w:sz="4" w:space="0"/>
              <w:left w:val="nil"/>
              <w:bottom w:val="single" w:color="000000" w:sz="4" w:space="0"/>
              <w:right w:val="nil"/>
            </w:tcBorders>
            <w:noWrap/>
            <w:vAlign w:val="center"/>
          </w:tcPr>
          <w:p w14:paraId="7713D591">
            <w:pPr>
              <w:jc w:val="center"/>
              <w:rPr>
                <w:color w:val="000000"/>
                <w:sz w:val="16"/>
                <w:szCs w:val="16"/>
                <w14:ligatures w14:val="standardContextual"/>
              </w:rPr>
            </w:pPr>
            <w:r>
              <w:rPr>
                <w:i/>
                <w:iCs/>
                <w:color w:val="000000"/>
                <w:sz w:val="16"/>
                <w:szCs w:val="16"/>
              </w:rPr>
              <w:t>p</w:t>
            </w:r>
            <w:r>
              <w:rPr>
                <w:color w:val="000000"/>
                <w:sz w:val="16"/>
                <w:szCs w:val="16"/>
                <w:vertAlign w:val="superscript"/>
              </w:rPr>
              <w:t>a</w:t>
            </w:r>
          </w:p>
        </w:tc>
      </w:tr>
      <w:tr w14:paraId="5318636B">
        <w:trPr>
          <w:trHeight w:val="360" w:hRule="atLeast"/>
        </w:trPr>
        <w:tc>
          <w:tcPr>
            <w:tcW w:w="0" w:type="auto"/>
            <w:vAlign w:val="center"/>
          </w:tcPr>
          <w:p w14:paraId="29167CB3">
            <w:pPr>
              <w:jc w:val="center"/>
              <w:rPr>
                <w:color w:val="404040"/>
                <w:sz w:val="16"/>
                <w:szCs w:val="16"/>
                <w14:ligatures w14:val="standardContextual"/>
              </w:rPr>
            </w:pPr>
            <w:bookmarkStart w:id="0" w:name="_Hlk205974030"/>
            <w:r>
              <w:rPr>
                <w:color w:val="404040"/>
                <w:sz w:val="16"/>
                <w:szCs w:val="16"/>
                <w14:ligatures w14:val="standardContextual"/>
              </w:rPr>
              <w:t>Mean</w:t>
            </w:r>
          </w:p>
        </w:tc>
        <w:tc>
          <w:tcPr>
            <w:tcW w:w="0" w:type="auto"/>
            <w:vAlign w:val="center"/>
          </w:tcPr>
          <w:p w14:paraId="5EBA9C04">
            <w:pPr>
              <w:jc w:val="center"/>
              <w:rPr>
                <w:color w:val="000000"/>
                <w:sz w:val="16"/>
                <w:szCs w:val="16"/>
                <w14:ligatures w14:val="standardContextual"/>
              </w:rPr>
            </w:pPr>
            <w:r>
              <w:rPr>
                <w:color w:val="000000"/>
                <w:sz w:val="16"/>
                <w:szCs w:val="16"/>
                <w14:ligatures w14:val="standardContextual"/>
              </w:rPr>
              <w:t xml:space="preserve">70.52 </w:t>
            </w:r>
            <w:r>
              <w:rPr>
                <w:color w:val="000000"/>
                <w:sz w:val="16"/>
                <w:szCs w:val="16"/>
              </w:rPr>
              <w:t>(68.79–75.02)</w:t>
            </w:r>
          </w:p>
        </w:tc>
        <w:tc>
          <w:tcPr>
            <w:tcW w:w="0" w:type="auto"/>
            <w:vAlign w:val="center"/>
          </w:tcPr>
          <w:p w14:paraId="3800401D">
            <w:pPr>
              <w:jc w:val="center"/>
              <w:rPr>
                <w:color w:val="000000"/>
                <w:sz w:val="16"/>
                <w:szCs w:val="16"/>
                <w14:ligatures w14:val="standardContextual"/>
              </w:rPr>
            </w:pPr>
            <w:r>
              <w:rPr>
                <w:color w:val="000000"/>
                <w:sz w:val="16"/>
                <w:szCs w:val="16"/>
                <w14:ligatures w14:val="standardContextual"/>
              </w:rPr>
              <w:t xml:space="preserve">86.03 </w:t>
            </w:r>
            <w:r>
              <w:rPr>
                <w:color w:val="000000"/>
                <w:sz w:val="16"/>
                <w:szCs w:val="16"/>
              </w:rPr>
              <w:t>(83.74–88.39)</w:t>
            </w:r>
          </w:p>
        </w:tc>
        <w:tc>
          <w:tcPr>
            <w:tcW w:w="0" w:type="auto"/>
            <w:noWrap/>
            <w:vAlign w:val="center"/>
          </w:tcPr>
          <w:p w14:paraId="7CA85945">
            <w:pPr>
              <w:jc w:val="center"/>
              <w:rPr>
                <w:color w:val="000000"/>
                <w:sz w:val="16"/>
                <w:szCs w:val="16"/>
                <w14:ligatures w14:val="standardContextual"/>
              </w:rPr>
            </w:pPr>
            <w:r>
              <w:rPr>
                <w:color w:val="000000"/>
                <w:sz w:val="16"/>
                <w:szCs w:val="16"/>
                <w14:ligatures w14:val="standardContextual"/>
              </w:rPr>
              <w:t xml:space="preserve">94.79 </w:t>
            </w:r>
            <w:r>
              <w:rPr>
                <w:color w:val="000000"/>
                <w:sz w:val="16"/>
                <w:szCs w:val="16"/>
              </w:rPr>
              <w:t>(84.43–100.31)</w:t>
            </w:r>
          </w:p>
        </w:tc>
        <w:tc>
          <w:tcPr>
            <w:tcW w:w="0" w:type="auto"/>
            <w:vAlign w:val="center"/>
          </w:tcPr>
          <w:p w14:paraId="6175A9DF">
            <w:pPr>
              <w:jc w:val="center"/>
              <w:rPr>
                <w:color w:val="000000"/>
                <w:sz w:val="16"/>
                <w:szCs w:val="16"/>
                <w14:ligatures w14:val="standardContextual"/>
              </w:rPr>
            </w:pPr>
            <w:r>
              <w:rPr>
                <w:color w:val="000000"/>
                <w:sz w:val="16"/>
                <w:szCs w:val="16"/>
                <w14:ligatures w14:val="standardContextual"/>
              </w:rPr>
              <w:t xml:space="preserve">131.53 </w:t>
            </w:r>
            <w:r>
              <w:rPr>
                <w:color w:val="000000"/>
                <w:sz w:val="16"/>
                <w:szCs w:val="16"/>
              </w:rPr>
              <w:t>(109.89–130.42)</w:t>
            </w:r>
          </w:p>
        </w:tc>
        <w:tc>
          <w:tcPr>
            <w:tcW w:w="0" w:type="auto"/>
            <w:noWrap/>
            <w:vAlign w:val="center"/>
          </w:tcPr>
          <w:p w14:paraId="7A02A8F3">
            <w:pPr>
              <w:jc w:val="center"/>
              <w:rPr>
                <w:color w:val="000000"/>
                <w:sz w:val="16"/>
                <w:szCs w:val="16"/>
                <w14:ligatures w14:val="standardContextual"/>
              </w:rPr>
            </w:pPr>
            <w:r>
              <w:rPr>
                <w:color w:val="000000"/>
                <w:sz w:val="16"/>
                <w:szCs w:val="16"/>
                <w14:ligatures w14:val="standardContextual"/>
              </w:rPr>
              <w:t>&lt;0.0001</w:t>
            </w:r>
          </w:p>
        </w:tc>
      </w:tr>
      <w:tr w14:paraId="2DA0416A">
        <w:trPr>
          <w:trHeight w:val="360" w:hRule="atLeast"/>
        </w:trPr>
        <w:tc>
          <w:tcPr>
            <w:tcW w:w="0" w:type="auto"/>
            <w:vAlign w:val="center"/>
          </w:tcPr>
          <w:p w14:paraId="69AAE47F">
            <w:pPr>
              <w:jc w:val="center"/>
              <w:rPr>
                <w:color w:val="404040"/>
                <w:sz w:val="16"/>
                <w:szCs w:val="16"/>
                <w14:ligatures w14:val="standardContextual"/>
              </w:rPr>
            </w:pPr>
            <w:r>
              <w:rPr>
                <w:color w:val="404040"/>
                <w:sz w:val="16"/>
                <w:szCs w:val="16"/>
                <w14:ligatures w14:val="standardContextual"/>
              </w:rPr>
              <w:t>Median</w:t>
            </w:r>
          </w:p>
        </w:tc>
        <w:tc>
          <w:tcPr>
            <w:tcW w:w="0" w:type="auto"/>
            <w:vAlign w:val="center"/>
          </w:tcPr>
          <w:p w14:paraId="5C0CDA2A">
            <w:pPr>
              <w:jc w:val="center"/>
              <w:rPr>
                <w:color w:val="404040"/>
                <w:sz w:val="16"/>
                <w:szCs w:val="16"/>
                <w14:ligatures w14:val="standardContextual"/>
              </w:rPr>
            </w:pPr>
            <w:r>
              <w:rPr>
                <w:color w:val="404040"/>
                <w:sz w:val="16"/>
                <w:szCs w:val="16"/>
                <w14:ligatures w14:val="standardContextual"/>
              </w:rPr>
              <w:t xml:space="preserve">68 </w:t>
            </w:r>
            <w:r>
              <w:rPr>
                <w:color w:val="000000"/>
                <w:sz w:val="16"/>
                <w:szCs w:val="16"/>
              </w:rPr>
              <w:t>(</w:t>
            </w:r>
            <w:r>
              <w:rPr>
                <w:color w:val="404040"/>
                <w:sz w:val="16"/>
                <w:szCs w:val="16"/>
                <w14:ligatures w14:val="standardContextual"/>
              </w:rPr>
              <w:t>66–72)</w:t>
            </w:r>
          </w:p>
        </w:tc>
        <w:tc>
          <w:tcPr>
            <w:tcW w:w="0" w:type="auto"/>
            <w:vAlign w:val="center"/>
          </w:tcPr>
          <w:p w14:paraId="741A6B06">
            <w:pPr>
              <w:jc w:val="center"/>
              <w:rPr>
                <w:color w:val="404040"/>
                <w:sz w:val="16"/>
                <w:szCs w:val="16"/>
                <w14:ligatures w14:val="standardContextual"/>
              </w:rPr>
            </w:pPr>
            <w:r>
              <w:rPr>
                <w:color w:val="404040"/>
                <w:sz w:val="16"/>
                <w:szCs w:val="16"/>
                <w14:ligatures w14:val="standardContextual"/>
              </w:rPr>
              <w:t>83 (80–86)</w:t>
            </w:r>
          </w:p>
        </w:tc>
        <w:tc>
          <w:tcPr>
            <w:tcW w:w="0" w:type="auto"/>
            <w:vAlign w:val="center"/>
          </w:tcPr>
          <w:p w14:paraId="3488C95B">
            <w:pPr>
              <w:jc w:val="center"/>
              <w:rPr>
                <w:color w:val="404040"/>
                <w:sz w:val="16"/>
                <w:szCs w:val="16"/>
                <w14:ligatures w14:val="standardContextual"/>
              </w:rPr>
            </w:pPr>
            <w:r>
              <w:rPr>
                <w:color w:val="404040"/>
                <w:sz w:val="16"/>
                <w:szCs w:val="16"/>
                <w14:ligatures w14:val="standardContextual"/>
              </w:rPr>
              <w:t>88 (81–97)</w:t>
            </w:r>
          </w:p>
        </w:tc>
        <w:tc>
          <w:tcPr>
            <w:tcW w:w="0" w:type="auto"/>
            <w:noWrap/>
            <w:vAlign w:val="center"/>
          </w:tcPr>
          <w:p w14:paraId="7EA16B6A">
            <w:pPr>
              <w:jc w:val="center"/>
              <w:rPr>
                <w:color w:val="000000"/>
                <w:sz w:val="16"/>
                <w:szCs w:val="16"/>
                <w14:ligatures w14:val="standardContextual"/>
              </w:rPr>
            </w:pPr>
            <w:r>
              <w:rPr>
                <w:color w:val="000000"/>
                <w:sz w:val="16"/>
                <w:szCs w:val="16"/>
                <w14:ligatures w14:val="standardContextual"/>
              </w:rPr>
              <w:t>110 (107.75–130.25)</w:t>
            </w:r>
          </w:p>
        </w:tc>
        <w:tc>
          <w:tcPr>
            <w:tcW w:w="0" w:type="auto"/>
            <w:noWrap/>
            <w:vAlign w:val="center"/>
          </w:tcPr>
          <w:p w14:paraId="11A2CD07">
            <w:pPr>
              <w:jc w:val="center"/>
              <w:rPr>
                <w:color w:val="000000"/>
                <w:sz w:val="16"/>
                <w:szCs w:val="16"/>
                <w14:ligatures w14:val="standardContextual"/>
              </w:rPr>
            </w:pPr>
            <w:r>
              <w:rPr>
                <w:color w:val="000000"/>
                <w:sz w:val="16"/>
                <w:szCs w:val="16"/>
                <w14:ligatures w14:val="standardContextual"/>
              </w:rPr>
              <w:t>&lt;0.0001</w:t>
            </w:r>
          </w:p>
        </w:tc>
      </w:tr>
      <w:tr w14:paraId="36A9E493">
        <w:trPr>
          <w:trHeight w:val="360" w:hRule="atLeast"/>
        </w:trPr>
        <w:tc>
          <w:tcPr>
            <w:tcW w:w="0" w:type="auto"/>
            <w:vAlign w:val="center"/>
          </w:tcPr>
          <w:p w14:paraId="77FA3800">
            <w:pPr>
              <w:jc w:val="center"/>
              <w:rPr>
                <w:color w:val="404040"/>
                <w:sz w:val="16"/>
                <w:szCs w:val="16"/>
                <w14:ligatures w14:val="standardContextual"/>
              </w:rPr>
            </w:pPr>
            <w:r>
              <w:rPr>
                <w:color w:val="404040"/>
                <w:sz w:val="16"/>
                <w:szCs w:val="16"/>
                <w14:ligatures w14:val="standardContextual"/>
              </w:rPr>
              <w:t>Range</w:t>
            </w:r>
          </w:p>
        </w:tc>
        <w:tc>
          <w:tcPr>
            <w:tcW w:w="0" w:type="auto"/>
            <w:vAlign w:val="center"/>
          </w:tcPr>
          <w:p w14:paraId="5543568E">
            <w:pPr>
              <w:jc w:val="center"/>
              <w:rPr>
                <w:color w:val="404040"/>
                <w:sz w:val="16"/>
                <w:szCs w:val="16"/>
                <w14:ligatures w14:val="standardContextual"/>
              </w:rPr>
            </w:pPr>
            <w:r>
              <w:rPr>
                <w:color w:val="404040"/>
                <w:sz w:val="16"/>
                <w:szCs w:val="16"/>
                <w14:ligatures w14:val="standardContextual"/>
              </w:rPr>
              <w:t xml:space="preserve">161 </w:t>
            </w:r>
            <w:r>
              <w:rPr>
                <w:color w:val="000000"/>
                <w:sz w:val="16"/>
                <w:szCs w:val="16"/>
              </w:rPr>
              <w:t>(</w:t>
            </w:r>
            <w:r>
              <w:rPr>
                <w:color w:val="404040"/>
                <w:sz w:val="16"/>
                <w:szCs w:val="16"/>
                <w14:ligatures w14:val="standardContextual"/>
              </w:rPr>
              <w:t>136–172.5)</w:t>
            </w:r>
          </w:p>
        </w:tc>
        <w:tc>
          <w:tcPr>
            <w:tcW w:w="0" w:type="auto"/>
            <w:vAlign w:val="center"/>
          </w:tcPr>
          <w:p w14:paraId="135C577C">
            <w:pPr>
              <w:jc w:val="center"/>
              <w:rPr>
                <w:color w:val="404040"/>
                <w:sz w:val="16"/>
                <w:szCs w:val="16"/>
                <w14:ligatures w14:val="standardContextual"/>
              </w:rPr>
            </w:pPr>
            <w:r>
              <w:rPr>
                <w:color w:val="404040"/>
                <w:sz w:val="16"/>
                <w:szCs w:val="16"/>
                <w14:ligatures w14:val="standardContextual"/>
              </w:rPr>
              <w:t>175 (158–195)</w:t>
            </w:r>
          </w:p>
        </w:tc>
        <w:tc>
          <w:tcPr>
            <w:tcW w:w="0" w:type="auto"/>
            <w:vAlign w:val="center"/>
          </w:tcPr>
          <w:p w14:paraId="5894F7FA">
            <w:pPr>
              <w:jc w:val="center"/>
              <w:rPr>
                <w:color w:val="404040"/>
                <w:sz w:val="16"/>
                <w:szCs w:val="16"/>
                <w14:ligatures w14:val="standardContextual"/>
              </w:rPr>
            </w:pPr>
            <w:r>
              <w:rPr>
                <w:color w:val="404040"/>
                <w:sz w:val="16"/>
                <w:szCs w:val="16"/>
                <w14:ligatures w14:val="standardContextual"/>
              </w:rPr>
              <w:t>172 (160–195)</w:t>
            </w:r>
          </w:p>
        </w:tc>
        <w:tc>
          <w:tcPr>
            <w:tcW w:w="0" w:type="auto"/>
            <w:noWrap/>
            <w:vAlign w:val="center"/>
          </w:tcPr>
          <w:p w14:paraId="65FA1A0B">
            <w:pPr>
              <w:jc w:val="center"/>
              <w:rPr>
                <w:color w:val="000000"/>
                <w:sz w:val="16"/>
                <w:szCs w:val="16"/>
                <w14:ligatures w14:val="standardContextual"/>
              </w:rPr>
            </w:pPr>
            <w:r>
              <w:rPr>
                <w:color w:val="000000"/>
                <w:sz w:val="16"/>
                <w:szCs w:val="16"/>
                <w14:ligatures w14:val="standardContextual"/>
              </w:rPr>
              <w:t>192 (183–210)</w:t>
            </w:r>
          </w:p>
        </w:tc>
        <w:tc>
          <w:tcPr>
            <w:tcW w:w="0" w:type="auto"/>
            <w:noWrap/>
            <w:vAlign w:val="center"/>
          </w:tcPr>
          <w:p w14:paraId="46C60B3C">
            <w:pPr>
              <w:jc w:val="center"/>
              <w:rPr>
                <w:color w:val="000000"/>
                <w:sz w:val="16"/>
                <w:szCs w:val="16"/>
                <w14:ligatures w14:val="standardContextual"/>
              </w:rPr>
            </w:pPr>
            <w:r>
              <w:rPr>
                <w:color w:val="000000"/>
                <w:sz w:val="16"/>
                <w:szCs w:val="16"/>
                <w14:ligatures w14:val="standardContextual"/>
              </w:rPr>
              <w:t>0.022</w:t>
            </w:r>
          </w:p>
        </w:tc>
      </w:tr>
      <w:tr w14:paraId="34FEB97A">
        <w:trPr>
          <w:trHeight w:val="360" w:hRule="atLeast"/>
        </w:trPr>
        <w:tc>
          <w:tcPr>
            <w:tcW w:w="0" w:type="auto"/>
            <w:vAlign w:val="center"/>
          </w:tcPr>
          <w:p w14:paraId="2EB2A4D5">
            <w:pPr>
              <w:jc w:val="center"/>
              <w:rPr>
                <w:color w:val="404040"/>
                <w:sz w:val="16"/>
                <w:szCs w:val="16"/>
                <w14:ligatures w14:val="standardContextual"/>
              </w:rPr>
            </w:pPr>
            <w:r>
              <w:rPr>
                <w:color w:val="404040"/>
                <w:sz w:val="16"/>
                <w:szCs w:val="16"/>
                <w14:ligatures w14:val="standardContextual"/>
              </w:rPr>
              <w:t>Variance</w:t>
            </w:r>
          </w:p>
        </w:tc>
        <w:tc>
          <w:tcPr>
            <w:tcW w:w="0" w:type="auto"/>
            <w:vAlign w:val="center"/>
          </w:tcPr>
          <w:p w14:paraId="166A5985">
            <w:pPr>
              <w:jc w:val="center"/>
              <w:rPr>
                <w:color w:val="404040"/>
                <w:sz w:val="16"/>
                <w:szCs w:val="16"/>
                <w14:ligatures w14:val="standardContextual"/>
              </w:rPr>
            </w:pPr>
            <w:r>
              <w:rPr>
                <w:color w:val="404040"/>
                <w:sz w:val="16"/>
                <w:szCs w:val="16"/>
                <w14:ligatures w14:val="standardContextual"/>
              </w:rPr>
              <w:t xml:space="preserve">284.28 </w:t>
            </w:r>
            <w:r>
              <w:rPr>
                <w:color w:val="000000"/>
                <w:sz w:val="16"/>
                <w:szCs w:val="16"/>
              </w:rPr>
              <w:t>(</w:t>
            </w:r>
            <w:r>
              <w:rPr>
                <w:color w:val="404040"/>
                <w:sz w:val="16"/>
                <w:szCs w:val="16"/>
                <w14:ligatures w14:val="standardContextual"/>
              </w:rPr>
              <w:t>252.80–327.36)</w:t>
            </w:r>
          </w:p>
        </w:tc>
        <w:tc>
          <w:tcPr>
            <w:tcW w:w="0" w:type="auto"/>
            <w:vAlign w:val="center"/>
          </w:tcPr>
          <w:p w14:paraId="08F90A81">
            <w:pPr>
              <w:jc w:val="center"/>
              <w:rPr>
                <w:color w:val="404040"/>
                <w:sz w:val="16"/>
                <w:szCs w:val="16"/>
                <w14:ligatures w14:val="standardContextual"/>
              </w:rPr>
            </w:pPr>
            <w:r>
              <w:rPr>
                <w:color w:val="404040"/>
                <w:sz w:val="16"/>
                <w:szCs w:val="16"/>
                <w14:ligatures w14:val="standardContextual"/>
              </w:rPr>
              <w:t>403.12 (325.64–647.71)</w:t>
            </w:r>
          </w:p>
        </w:tc>
        <w:tc>
          <w:tcPr>
            <w:tcW w:w="0" w:type="auto"/>
            <w:vAlign w:val="center"/>
          </w:tcPr>
          <w:p w14:paraId="55149967">
            <w:pPr>
              <w:jc w:val="center"/>
              <w:rPr>
                <w:color w:val="404040"/>
                <w:sz w:val="16"/>
                <w:szCs w:val="16"/>
                <w14:ligatures w14:val="standardContextual"/>
              </w:rPr>
            </w:pPr>
            <w:r>
              <w:rPr>
                <w:color w:val="404040"/>
                <w:sz w:val="16"/>
                <w:szCs w:val="16"/>
                <w14:ligatures w14:val="standardContextual"/>
              </w:rPr>
              <w:t>503.98 (400.57–700.12)</w:t>
            </w:r>
          </w:p>
        </w:tc>
        <w:tc>
          <w:tcPr>
            <w:tcW w:w="0" w:type="auto"/>
            <w:noWrap/>
            <w:vAlign w:val="center"/>
          </w:tcPr>
          <w:p w14:paraId="124DFA82">
            <w:pPr>
              <w:jc w:val="center"/>
              <w:rPr>
                <w:color w:val="000000"/>
                <w:sz w:val="16"/>
                <w:szCs w:val="16"/>
                <w14:ligatures w14:val="standardContextual"/>
              </w:rPr>
            </w:pPr>
            <w:r>
              <w:rPr>
                <w:color w:val="000000"/>
                <w:sz w:val="16"/>
                <w:szCs w:val="16"/>
                <w14:ligatures w14:val="standardContextual"/>
              </w:rPr>
              <w:t>898.63 (609.66–919.12)</w:t>
            </w:r>
          </w:p>
        </w:tc>
        <w:tc>
          <w:tcPr>
            <w:tcW w:w="0" w:type="auto"/>
            <w:noWrap/>
            <w:vAlign w:val="center"/>
          </w:tcPr>
          <w:p w14:paraId="54900AE4">
            <w:pPr>
              <w:jc w:val="center"/>
              <w:rPr>
                <w:color w:val="000000"/>
                <w:sz w:val="16"/>
                <w:szCs w:val="16"/>
                <w14:ligatures w14:val="standardContextual"/>
              </w:rPr>
            </w:pPr>
            <w:r>
              <w:rPr>
                <w:color w:val="000000"/>
                <w:sz w:val="16"/>
                <w:szCs w:val="16"/>
                <w14:ligatures w14:val="standardContextual"/>
              </w:rPr>
              <w:t>&lt;0.0001</w:t>
            </w:r>
          </w:p>
        </w:tc>
      </w:tr>
      <w:tr w14:paraId="75ADFDE9">
        <w:trPr>
          <w:trHeight w:val="360" w:hRule="atLeast"/>
        </w:trPr>
        <w:tc>
          <w:tcPr>
            <w:tcW w:w="0" w:type="auto"/>
            <w:vAlign w:val="center"/>
          </w:tcPr>
          <w:p w14:paraId="2B1E3F55">
            <w:pPr>
              <w:jc w:val="center"/>
              <w:rPr>
                <w:color w:val="404040"/>
                <w:sz w:val="16"/>
                <w:szCs w:val="16"/>
                <w14:ligatures w14:val="standardContextual"/>
              </w:rPr>
            </w:pPr>
            <w:r>
              <w:rPr>
                <w:color w:val="404040"/>
                <w:sz w:val="16"/>
                <w:szCs w:val="16"/>
                <w14:ligatures w14:val="standardContextual"/>
              </w:rPr>
              <w:t>10th Percentile</w:t>
            </w:r>
          </w:p>
        </w:tc>
        <w:tc>
          <w:tcPr>
            <w:tcW w:w="0" w:type="auto"/>
            <w:vAlign w:val="center"/>
          </w:tcPr>
          <w:p w14:paraId="42707AB1">
            <w:pPr>
              <w:jc w:val="center"/>
              <w:rPr>
                <w:color w:val="404040"/>
                <w:sz w:val="16"/>
                <w:szCs w:val="16"/>
                <w14:ligatures w14:val="standardContextual"/>
              </w:rPr>
            </w:pPr>
            <w:r>
              <w:rPr>
                <w:color w:val="404040"/>
                <w:sz w:val="16"/>
                <w:szCs w:val="16"/>
                <w14:ligatures w14:val="standardContextual"/>
              </w:rPr>
              <w:t xml:space="preserve">52 </w:t>
            </w:r>
            <w:r>
              <w:rPr>
                <w:color w:val="000000"/>
                <w:sz w:val="16"/>
                <w:szCs w:val="16"/>
              </w:rPr>
              <w:t>(</w:t>
            </w:r>
            <w:r>
              <w:rPr>
                <w:color w:val="404040"/>
                <w:sz w:val="16"/>
                <w:szCs w:val="16"/>
                <w14:ligatures w14:val="standardContextual"/>
              </w:rPr>
              <w:t>47–56)</w:t>
            </w:r>
          </w:p>
        </w:tc>
        <w:tc>
          <w:tcPr>
            <w:tcW w:w="0" w:type="auto"/>
            <w:vAlign w:val="center"/>
          </w:tcPr>
          <w:p w14:paraId="701FB7D5">
            <w:pPr>
              <w:jc w:val="center"/>
              <w:rPr>
                <w:color w:val="404040"/>
                <w:sz w:val="16"/>
                <w:szCs w:val="16"/>
                <w14:ligatures w14:val="standardContextual"/>
              </w:rPr>
            </w:pPr>
            <w:r>
              <w:rPr>
                <w:color w:val="404040"/>
                <w:sz w:val="16"/>
                <w:szCs w:val="16"/>
                <w14:ligatures w14:val="standardContextual"/>
              </w:rPr>
              <w:t>64 (62–65)</w:t>
            </w:r>
          </w:p>
        </w:tc>
        <w:tc>
          <w:tcPr>
            <w:tcW w:w="0" w:type="auto"/>
            <w:vAlign w:val="center"/>
          </w:tcPr>
          <w:p w14:paraId="0BDC56ED">
            <w:pPr>
              <w:jc w:val="center"/>
              <w:rPr>
                <w:color w:val="404040"/>
                <w:sz w:val="16"/>
                <w:szCs w:val="16"/>
                <w14:ligatures w14:val="standardContextual"/>
              </w:rPr>
            </w:pPr>
            <w:r>
              <w:rPr>
                <w:color w:val="404040"/>
                <w:sz w:val="16"/>
                <w:szCs w:val="16"/>
                <w14:ligatures w14:val="standardContextual"/>
              </w:rPr>
              <w:t>62 (58–66)</w:t>
            </w:r>
          </w:p>
        </w:tc>
        <w:tc>
          <w:tcPr>
            <w:tcW w:w="0" w:type="auto"/>
            <w:noWrap/>
            <w:vAlign w:val="center"/>
          </w:tcPr>
          <w:p w14:paraId="1EFF6EFB">
            <w:pPr>
              <w:jc w:val="center"/>
              <w:rPr>
                <w:color w:val="000000"/>
                <w:sz w:val="16"/>
                <w:szCs w:val="16"/>
                <w14:ligatures w14:val="standardContextual"/>
              </w:rPr>
            </w:pPr>
            <w:r>
              <w:rPr>
                <w:color w:val="000000"/>
                <w:sz w:val="16"/>
                <w:szCs w:val="16"/>
                <w14:ligatures w14:val="standardContextual"/>
              </w:rPr>
              <w:t>88.5 (73–101)</w:t>
            </w:r>
          </w:p>
        </w:tc>
        <w:tc>
          <w:tcPr>
            <w:tcW w:w="0" w:type="auto"/>
            <w:noWrap/>
            <w:vAlign w:val="center"/>
          </w:tcPr>
          <w:p w14:paraId="48516574">
            <w:pPr>
              <w:jc w:val="center"/>
              <w:rPr>
                <w:color w:val="000000"/>
                <w:sz w:val="16"/>
                <w:szCs w:val="16"/>
                <w14:ligatures w14:val="standardContextual"/>
              </w:rPr>
            </w:pPr>
            <w:r>
              <w:rPr>
                <w:color w:val="000000"/>
                <w:sz w:val="16"/>
                <w:szCs w:val="16"/>
                <w14:ligatures w14:val="standardContextual"/>
              </w:rPr>
              <w:t>&lt;0.0001</w:t>
            </w:r>
          </w:p>
        </w:tc>
      </w:tr>
      <w:tr w14:paraId="21ACBB9F">
        <w:trPr>
          <w:trHeight w:val="360" w:hRule="atLeast"/>
        </w:trPr>
        <w:tc>
          <w:tcPr>
            <w:tcW w:w="0" w:type="auto"/>
            <w:vAlign w:val="center"/>
          </w:tcPr>
          <w:p w14:paraId="2EF2CDA1">
            <w:pPr>
              <w:jc w:val="center"/>
              <w:rPr>
                <w:color w:val="404040"/>
                <w:sz w:val="16"/>
                <w:szCs w:val="16"/>
                <w14:ligatures w14:val="standardContextual"/>
              </w:rPr>
            </w:pPr>
            <w:r>
              <w:rPr>
                <w:color w:val="404040"/>
                <w:sz w:val="16"/>
                <w:szCs w:val="16"/>
                <w14:ligatures w14:val="standardContextual"/>
              </w:rPr>
              <w:t>90th Percentile</w:t>
            </w:r>
          </w:p>
        </w:tc>
        <w:tc>
          <w:tcPr>
            <w:tcW w:w="0" w:type="auto"/>
            <w:vAlign w:val="center"/>
          </w:tcPr>
          <w:p w14:paraId="33C7683D">
            <w:pPr>
              <w:jc w:val="center"/>
              <w:rPr>
                <w:color w:val="404040"/>
                <w:sz w:val="16"/>
                <w:szCs w:val="16"/>
                <w14:ligatures w14:val="standardContextual"/>
              </w:rPr>
            </w:pPr>
            <w:r>
              <w:rPr>
                <w:color w:val="404040"/>
                <w:sz w:val="16"/>
                <w:szCs w:val="16"/>
                <w14:ligatures w14:val="standardContextual"/>
              </w:rPr>
              <w:t xml:space="preserve">94 </w:t>
            </w:r>
            <w:r>
              <w:rPr>
                <w:color w:val="000000"/>
                <w:sz w:val="16"/>
                <w:szCs w:val="16"/>
              </w:rPr>
              <w:t>(</w:t>
            </w:r>
            <w:r>
              <w:rPr>
                <w:color w:val="404040"/>
                <w:sz w:val="16"/>
                <w:szCs w:val="16"/>
                <w14:ligatures w14:val="standardContextual"/>
              </w:rPr>
              <w:t>89–97)</w:t>
            </w:r>
          </w:p>
        </w:tc>
        <w:tc>
          <w:tcPr>
            <w:tcW w:w="0" w:type="auto"/>
            <w:vAlign w:val="center"/>
          </w:tcPr>
          <w:p w14:paraId="03F6C255">
            <w:pPr>
              <w:jc w:val="center"/>
              <w:rPr>
                <w:color w:val="404040"/>
                <w:sz w:val="16"/>
                <w:szCs w:val="16"/>
                <w14:ligatures w14:val="standardContextual"/>
              </w:rPr>
            </w:pPr>
            <w:r>
              <w:rPr>
                <w:color w:val="404040"/>
                <w:sz w:val="16"/>
                <w:szCs w:val="16"/>
                <w14:ligatures w14:val="standardContextual"/>
              </w:rPr>
              <w:t>108 (107–117)</w:t>
            </w:r>
          </w:p>
        </w:tc>
        <w:tc>
          <w:tcPr>
            <w:tcW w:w="0" w:type="auto"/>
            <w:vAlign w:val="center"/>
          </w:tcPr>
          <w:p w14:paraId="2C89E603">
            <w:pPr>
              <w:jc w:val="center"/>
              <w:rPr>
                <w:color w:val="404040"/>
                <w:sz w:val="16"/>
                <w:szCs w:val="16"/>
                <w14:ligatures w14:val="standardContextual"/>
              </w:rPr>
            </w:pPr>
            <w:r>
              <w:rPr>
                <w:color w:val="404040"/>
                <w:sz w:val="16"/>
                <w:szCs w:val="16"/>
                <w14:ligatures w14:val="standardContextual"/>
              </w:rPr>
              <w:t>120 (111–128)</w:t>
            </w:r>
          </w:p>
        </w:tc>
        <w:tc>
          <w:tcPr>
            <w:tcW w:w="0" w:type="auto"/>
            <w:noWrap/>
            <w:vAlign w:val="center"/>
          </w:tcPr>
          <w:p w14:paraId="4149BE3B">
            <w:pPr>
              <w:jc w:val="center"/>
              <w:rPr>
                <w:color w:val="000000"/>
                <w:sz w:val="16"/>
                <w:szCs w:val="16"/>
                <w14:ligatures w14:val="standardContextual"/>
              </w:rPr>
            </w:pPr>
            <w:r>
              <w:rPr>
                <w:color w:val="000000"/>
                <w:sz w:val="16"/>
                <w:szCs w:val="16"/>
                <w14:ligatures w14:val="standardContextual"/>
              </w:rPr>
              <w:t>160.5 (140.25–177)</w:t>
            </w:r>
          </w:p>
        </w:tc>
        <w:tc>
          <w:tcPr>
            <w:tcW w:w="0" w:type="auto"/>
            <w:noWrap/>
            <w:vAlign w:val="center"/>
          </w:tcPr>
          <w:p w14:paraId="4513BFAA">
            <w:pPr>
              <w:jc w:val="center"/>
              <w:rPr>
                <w:color w:val="000000"/>
                <w:sz w:val="16"/>
                <w:szCs w:val="16"/>
                <w14:ligatures w14:val="standardContextual"/>
              </w:rPr>
            </w:pPr>
            <w:r>
              <w:rPr>
                <w:color w:val="000000"/>
                <w:sz w:val="16"/>
                <w:szCs w:val="16"/>
                <w14:ligatures w14:val="standardContextual"/>
              </w:rPr>
              <w:t>&lt;0.0001</w:t>
            </w:r>
          </w:p>
        </w:tc>
      </w:tr>
      <w:tr w14:paraId="389B7496">
        <w:trPr>
          <w:trHeight w:val="360" w:hRule="atLeast"/>
        </w:trPr>
        <w:tc>
          <w:tcPr>
            <w:tcW w:w="0" w:type="auto"/>
            <w:vAlign w:val="center"/>
          </w:tcPr>
          <w:p w14:paraId="7AA67496">
            <w:pPr>
              <w:jc w:val="center"/>
              <w:rPr>
                <w:color w:val="404040"/>
                <w:sz w:val="16"/>
                <w:szCs w:val="16"/>
                <w14:ligatures w14:val="standardContextual"/>
              </w:rPr>
            </w:pPr>
            <w:r>
              <w:rPr>
                <w:color w:val="404040"/>
                <w:sz w:val="16"/>
                <w:szCs w:val="16"/>
                <w14:ligatures w14:val="standardContextual"/>
              </w:rPr>
              <w:t>Skewness</w:t>
            </w:r>
          </w:p>
        </w:tc>
        <w:tc>
          <w:tcPr>
            <w:tcW w:w="0" w:type="auto"/>
            <w:vAlign w:val="center"/>
          </w:tcPr>
          <w:p w14:paraId="5ED396AD">
            <w:pPr>
              <w:jc w:val="center"/>
              <w:rPr>
                <w:color w:val="404040"/>
                <w:sz w:val="16"/>
                <w:szCs w:val="16"/>
                <w14:ligatures w14:val="standardContextual"/>
              </w:rPr>
            </w:pPr>
            <w:r>
              <w:rPr>
                <w:color w:val="404040"/>
                <w:sz w:val="16"/>
                <w:szCs w:val="16"/>
                <w14:ligatures w14:val="standardContextual"/>
              </w:rPr>
              <w:t xml:space="preserve">0.37 </w:t>
            </w:r>
            <w:r>
              <w:rPr>
                <w:color w:val="000000"/>
                <w:sz w:val="16"/>
                <w:szCs w:val="16"/>
              </w:rPr>
              <w:t>(</w:t>
            </w:r>
            <w:r>
              <w:rPr>
                <w:color w:val="404040"/>
                <w:sz w:val="16"/>
                <w:szCs w:val="16"/>
                <w14:ligatures w14:val="standardContextual"/>
              </w:rPr>
              <w:t>0.20–0.68)</w:t>
            </w:r>
          </w:p>
        </w:tc>
        <w:tc>
          <w:tcPr>
            <w:tcW w:w="0" w:type="auto"/>
            <w:vAlign w:val="center"/>
          </w:tcPr>
          <w:p w14:paraId="7648522C">
            <w:pPr>
              <w:jc w:val="center"/>
              <w:rPr>
                <w:color w:val="404040"/>
                <w:sz w:val="16"/>
                <w:szCs w:val="16"/>
                <w14:ligatures w14:val="standardContextual"/>
              </w:rPr>
            </w:pPr>
            <w:r>
              <w:rPr>
                <w:color w:val="404040"/>
                <w:sz w:val="16"/>
                <w:szCs w:val="16"/>
                <w14:ligatures w14:val="standardContextual"/>
              </w:rPr>
              <w:t>0.46 (0.188–0.58)</w:t>
            </w:r>
          </w:p>
        </w:tc>
        <w:tc>
          <w:tcPr>
            <w:tcW w:w="0" w:type="auto"/>
            <w:vAlign w:val="center"/>
          </w:tcPr>
          <w:p w14:paraId="4F854E54">
            <w:pPr>
              <w:jc w:val="center"/>
              <w:rPr>
                <w:color w:val="404040"/>
                <w:sz w:val="16"/>
                <w:szCs w:val="16"/>
                <w14:ligatures w14:val="standardContextual"/>
              </w:rPr>
            </w:pPr>
            <w:r>
              <w:rPr>
                <w:color w:val="404040"/>
                <w:sz w:val="16"/>
                <w:szCs w:val="16"/>
                <w14:ligatures w14:val="standardContextual"/>
              </w:rPr>
              <w:t>0.5 (-0.22–0.18)</w:t>
            </w:r>
          </w:p>
        </w:tc>
        <w:tc>
          <w:tcPr>
            <w:tcW w:w="0" w:type="auto"/>
            <w:noWrap/>
            <w:vAlign w:val="center"/>
          </w:tcPr>
          <w:p w14:paraId="481ADF88">
            <w:pPr>
              <w:jc w:val="center"/>
              <w:rPr>
                <w:color w:val="000000"/>
                <w:sz w:val="16"/>
                <w:szCs w:val="16"/>
                <w14:ligatures w14:val="standardContextual"/>
              </w:rPr>
            </w:pPr>
            <w:r>
              <w:rPr>
                <w:color w:val="000000"/>
                <w:sz w:val="16"/>
                <w:szCs w:val="16"/>
                <w14:ligatures w14:val="standardContextual"/>
              </w:rPr>
              <w:t>-0.54 (-0.81– -0.013)</w:t>
            </w:r>
          </w:p>
        </w:tc>
        <w:tc>
          <w:tcPr>
            <w:tcW w:w="0" w:type="auto"/>
            <w:noWrap/>
            <w:vAlign w:val="center"/>
          </w:tcPr>
          <w:p w14:paraId="49FE3747">
            <w:pPr>
              <w:jc w:val="center"/>
              <w:rPr>
                <w:color w:val="000000"/>
                <w:sz w:val="16"/>
                <w:szCs w:val="16"/>
                <w14:ligatures w14:val="standardContextual"/>
              </w:rPr>
            </w:pPr>
            <w:r>
              <w:rPr>
                <w:color w:val="000000"/>
                <w:sz w:val="16"/>
                <w:szCs w:val="16"/>
                <w14:ligatures w14:val="standardContextual"/>
              </w:rPr>
              <w:t>0.0023</w:t>
            </w:r>
          </w:p>
        </w:tc>
      </w:tr>
      <w:tr w14:paraId="6D353740">
        <w:trPr>
          <w:trHeight w:val="360" w:hRule="atLeast"/>
        </w:trPr>
        <w:tc>
          <w:tcPr>
            <w:tcW w:w="0" w:type="auto"/>
            <w:vAlign w:val="center"/>
          </w:tcPr>
          <w:p w14:paraId="3ED47782">
            <w:pPr>
              <w:jc w:val="center"/>
              <w:rPr>
                <w:color w:val="404040"/>
                <w:sz w:val="16"/>
                <w:szCs w:val="16"/>
                <w14:ligatures w14:val="standardContextual"/>
              </w:rPr>
            </w:pPr>
            <w:r>
              <w:rPr>
                <w:color w:val="404040"/>
                <w:sz w:val="16"/>
                <w:szCs w:val="16"/>
                <w14:ligatures w14:val="standardContextual"/>
              </w:rPr>
              <w:t>Uniformity</w:t>
            </w:r>
          </w:p>
        </w:tc>
        <w:tc>
          <w:tcPr>
            <w:tcW w:w="0" w:type="auto"/>
            <w:vAlign w:val="center"/>
          </w:tcPr>
          <w:p w14:paraId="77F987F8">
            <w:pPr>
              <w:jc w:val="center"/>
              <w:rPr>
                <w:color w:val="404040"/>
                <w:sz w:val="16"/>
                <w:szCs w:val="16"/>
                <w14:ligatures w14:val="standardContextual"/>
              </w:rPr>
            </w:pPr>
            <w:r>
              <w:rPr>
                <w:color w:val="404040"/>
                <w:sz w:val="16"/>
                <w:szCs w:val="16"/>
                <w14:ligatures w14:val="standardContextual"/>
              </w:rPr>
              <w:t xml:space="preserve">0.021 </w:t>
            </w:r>
            <w:r>
              <w:rPr>
                <w:color w:val="000000"/>
                <w:sz w:val="16"/>
                <w:szCs w:val="16"/>
              </w:rPr>
              <w:t>(</w:t>
            </w:r>
            <w:r>
              <w:rPr>
                <w:color w:val="404040"/>
                <w:sz w:val="16"/>
                <w:szCs w:val="16"/>
                <w14:ligatures w14:val="standardContextual"/>
              </w:rPr>
              <w:t>0.019–0.024)</w:t>
            </w:r>
          </w:p>
        </w:tc>
        <w:tc>
          <w:tcPr>
            <w:tcW w:w="0" w:type="auto"/>
            <w:vAlign w:val="center"/>
          </w:tcPr>
          <w:p w14:paraId="3AE23BD1">
            <w:pPr>
              <w:jc w:val="center"/>
              <w:rPr>
                <w:color w:val="404040"/>
                <w:sz w:val="16"/>
                <w:szCs w:val="16"/>
                <w14:ligatures w14:val="standardContextual"/>
              </w:rPr>
            </w:pPr>
            <w:r>
              <w:rPr>
                <w:color w:val="404040"/>
                <w:sz w:val="16"/>
                <w:szCs w:val="16"/>
                <w14:ligatures w14:val="standardContextual"/>
              </w:rPr>
              <w:t>0.018 (0.014–0.020)</w:t>
            </w:r>
          </w:p>
        </w:tc>
        <w:tc>
          <w:tcPr>
            <w:tcW w:w="0" w:type="auto"/>
            <w:vAlign w:val="center"/>
          </w:tcPr>
          <w:p w14:paraId="141D8B2F">
            <w:pPr>
              <w:jc w:val="center"/>
              <w:rPr>
                <w:color w:val="404040"/>
                <w:sz w:val="16"/>
                <w:szCs w:val="16"/>
                <w14:ligatures w14:val="standardContextual"/>
              </w:rPr>
            </w:pPr>
            <w:r>
              <w:rPr>
                <w:color w:val="404040"/>
                <w:sz w:val="16"/>
                <w:szCs w:val="16"/>
                <w14:ligatures w14:val="standardContextual"/>
              </w:rPr>
              <w:t>0.015 (0.013–0.017)</w:t>
            </w:r>
          </w:p>
        </w:tc>
        <w:tc>
          <w:tcPr>
            <w:tcW w:w="0" w:type="auto"/>
            <w:noWrap/>
            <w:vAlign w:val="center"/>
          </w:tcPr>
          <w:p w14:paraId="4C713DC6">
            <w:pPr>
              <w:jc w:val="center"/>
              <w:rPr>
                <w:color w:val="000000"/>
                <w:sz w:val="16"/>
                <w:szCs w:val="16"/>
                <w14:ligatures w14:val="standardContextual"/>
              </w:rPr>
            </w:pPr>
            <w:r>
              <w:rPr>
                <w:color w:val="000000"/>
                <w:sz w:val="16"/>
                <w:szCs w:val="16"/>
                <w14:ligatures w14:val="standardContextual"/>
              </w:rPr>
              <w:t>0.014 (0.011–0.015)</w:t>
            </w:r>
          </w:p>
        </w:tc>
        <w:tc>
          <w:tcPr>
            <w:tcW w:w="0" w:type="auto"/>
            <w:noWrap/>
            <w:vAlign w:val="center"/>
          </w:tcPr>
          <w:p w14:paraId="2F5BBB82">
            <w:pPr>
              <w:jc w:val="center"/>
              <w:rPr>
                <w:color w:val="000000"/>
                <w:sz w:val="16"/>
                <w:szCs w:val="16"/>
                <w14:ligatures w14:val="standardContextual"/>
              </w:rPr>
            </w:pPr>
            <w:r>
              <w:rPr>
                <w:color w:val="000000"/>
                <w:sz w:val="16"/>
                <w:szCs w:val="16"/>
                <w14:ligatures w14:val="standardContextual"/>
              </w:rPr>
              <w:t>&lt;0.0001</w:t>
            </w:r>
          </w:p>
        </w:tc>
      </w:tr>
      <w:tr w14:paraId="25BDC2DC">
        <w:trPr>
          <w:trHeight w:val="360" w:hRule="atLeast"/>
        </w:trPr>
        <w:tc>
          <w:tcPr>
            <w:tcW w:w="0" w:type="auto"/>
            <w:vAlign w:val="center"/>
          </w:tcPr>
          <w:p w14:paraId="2D9587F7">
            <w:pPr>
              <w:jc w:val="center"/>
              <w:rPr>
                <w:color w:val="404040"/>
                <w:sz w:val="16"/>
                <w:szCs w:val="16"/>
                <w14:ligatures w14:val="standardContextual"/>
              </w:rPr>
            </w:pPr>
            <w:r>
              <w:rPr>
                <w:color w:val="404040"/>
                <w:sz w:val="16"/>
                <w:szCs w:val="16"/>
                <w14:ligatures w14:val="standardContextual"/>
              </w:rPr>
              <w:t>Energy (× 10^9)</w:t>
            </w:r>
          </w:p>
        </w:tc>
        <w:tc>
          <w:tcPr>
            <w:tcW w:w="0" w:type="auto"/>
            <w:vAlign w:val="center"/>
          </w:tcPr>
          <w:p w14:paraId="5C8DCFFE">
            <w:pPr>
              <w:jc w:val="center"/>
              <w:rPr>
                <w:color w:val="404040"/>
                <w:sz w:val="16"/>
                <w:szCs w:val="16"/>
                <w14:ligatures w14:val="standardContextual"/>
              </w:rPr>
            </w:pPr>
            <w:r>
              <w:rPr>
                <w:color w:val="404040"/>
                <w:sz w:val="16"/>
                <w:szCs w:val="16"/>
                <w14:ligatures w14:val="standardContextual"/>
              </w:rPr>
              <w:t xml:space="preserve">8.16 </w:t>
            </w:r>
            <w:r>
              <w:rPr>
                <w:color w:val="000000"/>
                <w:sz w:val="16"/>
                <w:szCs w:val="16"/>
              </w:rPr>
              <w:t>(</w:t>
            </w:r>
            <w:r>
              <w:rPr>
                <w:color w:val="404040"/>
                <w:sz w:val="16"/>
                <w:szCs w:val="16"/>
                <w14:ligatures w14:val="standardContextual"/>
              </w:rPr>
              <w:t>6.56–10.34)</w:t>
            </w:r>
          </w:p>
        </w:tc>
        <w:tc>
          <w:tcPr>
            <w:tcW w:w="0" w:type="auto"/>
            <w:vAlign w:val="center"/>
          </w:tcPr>
          <w:p w14:paraId="47712521">
            <w:pPr>
              <w:jc w:val="center"/>
              <w:rPr>
                <w:color w:val="404040"/>
                <w:sz w:val="16"/>
                <w:szCs w:val="16"/>
                <w14:ligatures w14:val="standardContextual"/>
              </w:rPr>
            </w:pPr>
            <w:r>
              <w:rPr>
                <w:color w:val="404040"/>
                <w:sz w:val="16"/>
                <w:szCs w:val="16"/>
                <w14:ligatures w14:val="standardContextual"/>
              </w:rPr>
              <w:t>10.9 (6.40–17.25)</w:t>
            </w:r>
          </w:p>
        </w:tc>
        <w:tc>
          <w:tcPr>
            <w:tcW w:w="0" w:type="auto"/>
            <w:vAlign w:val="center"/>
          </w:tcPr>
          <w:p w14:paraId="5AAA455E">
            <w:pPr>
              <w:jc w:val="center"/>
              <w:rPr>
                <w:color w:val="404040"/>
                <w:sz w:val="16"/>
                <w:szCs w:val="16"/>
                <w14:ligatures w14:val="standardContextual"/>
              </w:rPr>
            </w:pPr>
            <w:r>
              <w:rPr>
                <w:color w:val="404040"/>
                <w:sz w:val="16"/>
                <w:szCs w:val="16"/>
                <w14:ligatures w14:val="standardContextual"/>
              </w:rPr>
              <w:t>9.34 (6.75–12.02)</w:t>
            </w:r>
          </w:p>
        </w:tc>
        <w:tc>
          <w:tcPr>
            <w:tcW w:w="0" w:type="auto"/>
            <w:noWrap/>
            <w:vAlign w:val="center"/>
          </w:tcPr>
          <w:p w14:paraId="513413F2">
            <w:pPr>
              <w:jc w:val="center"/>
              <w:rPr>
                <w:color w:val="000000"/>
                <w:sz w:val="16"/>
                <w:szCs w:val="16"/>
                <w14:ligatures w14:val="standardContextual"/>
              </w:rPr>
            </w:pPr>
            <w:r>
              <w:rPr>
                <w:color w:val="000000"/>
                <w:sz w:val="16"/>
                <w:szCs w:val="16"/>
                <w14:ligatures w14:val="standardContextual"/>
              </w:rPr>
              <w:t>7.26 (6.69–7.92)</w:t>
            </w:r>
          </w:p>
        </w:tc>
        <w:tc>
          <w:tcPr>
            <w:tcW w:w="0" w:type="auto"/>
            <w:noWrap/>
            <w:vAlign w:val="center"/>
          </w:tcPr>
          <w:p w14:paraId="55EDFADD">
            <w:pPr>
              <w:jc w:val="center"/>
              <w:rPr>
                <w:color w:val="000000"/>
                <w:sz w:val="16"/>
                <w:szCs w:val="16"/>
                <w14:ligatures w14:val="standardContextual"/>
              </w:rPr>
            </w:pPr>
            <w:r>
              <w:rPr>
                <w:color w:val="000000"/>
                <w:sz w:val="16"/>
                <w:szCs w:val="16"/>
                <w14:ligatures w14:val="standardContextual"/>
              </w:rPr>
              <w:t>0.49</w:t>
            </w:r>
          </w:p>
        </w:tc>
      </w:tr>
      <w:tr w14:paraId="42F11C7D">
        <w:trPr>
          <w:trHeight w:val="360" w:hRule="atLeast"/>
        </w:trPr>
        <w:tc>
          <w:tcPr>
            <w:tcW w:w="0" w:type="auto"/>
            <w:tcBorders>
              <w:top w:val="nil"/>
              <w:left w:val="nil"/>
              <w:bottom w:val="single" w:color="auto" w:sz="4" w:space="0"/>
              <w:right w:val="nil"/>
            </w:tcBorders>
            <w:vAlign w:val="center"/>
          </w:tcPr>
          <w:p w14:paraId="7BE92BD7">
            <w:pPr>
              <w:jc w:val="center"/>
              <w:rPr>
                <w:color w:val="404040"/>
                <w:sz w:val="16"/>
                <w:szCs w:val="16"/>
                <w14:ligatures w14:val="standardContextual"/>
              </w:rPr>
            </w:pPr>
            <w:r>
              <w:rPr>
                <w:color w:val="404040"/>
                <w:sz w:val="16"/>
                <w:szCs w:val="16"/>
                <w14:ligatures w14:val="standardContextual"/>
              </w:rPr>
              <w:t>Entropy</w:t>
            </w:r>
          </w:p>
        </w:tc>
        <w:tc>
          <w:tcPr>
            <w:tcW w:w="0" w:type="auto"/>
            <w:tcBorders>
              <w:top w:val="nil"/>
              <w:left w:val="nil"/>
              <w:bottom w:val="single" w:color="auto" w:sz="4" w:space="0"/>
              <w:right w:val="nil"/>
            </w:tcBorders>
            <w:vAlign w:val="center"/>
          </w:tcPr>
          <w:p w14:paraId="3B43C09B">
            <w:pPr>
              <w:jc w:val="center"/>
              <w:rPr>
                <w:color w:val="404040"/>
                <w:sz w:val="16"/>
                <w:szCs w:val="16"/>
                <w14:ligatures w14:val="standardContextual"/>
              </w:rPr>
            </w:pPr>
            <w:r>
              <w:rPr>
                <w:color w:val="404040"/>
                <w:sz w:val="16"/>
                <w:szCs w:val="16"/>
                <w14:ligatures w14:val="standardContextual"/>
              </w:rPr>
              <w:t>5.93 (5.79–6.03)</w:t>
            </w:r>
          </w:p>
        </w:tc>
        <w:tc>
          <w:tcPr>
            <w:tcW w:w="0" w:type="auto"/>
            <w:tcBorders>
              <w:top w:val="nil"/>
              <w:left w:val="nil"/>
              <w:bottom w:val="single" w:color="auto" w:sz="4" w:space="0"/>
              <w:right w:val="nil"/>
            </w:tcBorders>
            <w:vAlign w:val="center"/>
          </w:tcPr>
          <w:p w14:paraId="3140CA8F">
            <w:pPr>
              <w:jc w:val="center"/>
              <w:rPr>
                <w:color w:val="404040"/>
                <w:sz w:val="16"/>
                <w:szCs w:val="16"/>
                <w14:ligatures w14:val="standardContextual"/>
              </w:rPr>
            </w:pPr>
            <w:r>
              <w:rPr>
                <w:color w:val="404040"/>
                <w:sz w:val="16"/>
                <w:szCs w:val="16"/>
                <w14:ligatures w14:val="standardContextual"/>
              </w:rPr>
              <w:t>6.23 (6.04–6.54)</w:t>
            </w:r>
          </w:p>
        </w:tc>
        <w:tc>
          <w:tcPr>
            <w:tcW w:w="0" w:type="auto"/>
            <w:tcBorders>
              <w:top w:val="nil"/>
              <w:left w:val="nil"/>
              <w:bottom w:val="single" w:color="000000" w:sz="4" w:space="0"/>
              <w:right w:val="nil"/>
            </w:tcBorders>
            <w:vAlign w:val="center"/>
          </w:tcPr>
          <w:p w14:paraId="1DA79808">
            <w:pPr>
              <w:jc w:val="center"/>
              <w:rPr>
                <w:color w:val="404040"/>
                <w:sz w:val="16"/>
                <w:szCs w:val="16"/>
                <w14:ligatures w14:val="standardContextual"/>
              </w:rPr>
            </w:pPr>
            <w:r>
              <w:rPr>
                <w:color w:val="404040"/>
                <w:sz w:val="16"/>
                <w:szCs w:val="16"/>
                <w14:ligatures w14:val="standardContextual"/>
              </w:rPr>
              <w:t>6.37 (6.18–6.54)</w:t>
            </w:r>
          </w:p>
        </w:tc>
        <w:tc>
          <w:tcPr>
            <w:tcW w:w="0" w:type="auto"/>
            <w:tcBorders>
              <w:top w:val="nil"/>
              <w:left w:val="nil"/>
              <w:bottom w:val="single" w:color="000000" w:sz="4" w:space="0"/>
              <w:right w:val="nil"/>
            </w:tcBorders>
            <w:noWrap/>
            <w:vAlign w:val="center"/>
          </w:tcPr>
          <w:p w14:paraId="41803AB5">
            <w:pPr>
              <w:jc w:val="center"/>
              <w:rPr>
                <w:color w:val="000000"/>
                <w:sz w:val="16"/>
                <w:szCs w:val="16"/>
                <w14:ligatures w14:val="standardContextual"/>
              </w:rPr>
            </w:pPr>
            <w:r>
              <w:rPr>
                <w:color w:val="000000"/>
                <w:sz w:val="16"/>
                <w:szCs w:val="16"/>
                <w14:ligatures w14:val="standardContextual"/>
              </w:rPr>
              <w:t>6.58 (6.40–6.70)</w:t>
            </w:r>
          </w:p>
        </w:tc>
        <w:tc>
          <w:tcPr>
            <w:tcW w:w="0" w:type="auto"/>
            <w:tcBorders>
              <w:top w:val="nil"/>
              <w:left w:val="nil"/>
              <w:bottom w:val="single" w:color="000000" w:sz="4" w:space="0"/>
              <w:right w:val="nil"/>
            </w:tcBorders>
            <w:noWrap/>
            <w:vAlign w:val="center"/>
          </w:tcPr>
          <w:p w14:paraId="6F58F663">
            <w:pPr>
              <w:jc w:val="center"/>
              <w:rPr>
                <w:color w:val="000000"/>
                <w:sz w:val="16"/>
                <w:szCs w:val="16"/>
                <w14:ligatures w14:val="standardContextual"/>
              </w:rPr>
            </w:pPr>
            <w:r>
              <w:rPr>
                <w:color w:val="000000"/>
                <w:sz w:val="16"/>
                <w:szCs w:val="16"/>
                <w14:ligatures w14:val="standardContextual"/>
              </w:rPr>
              <w:t>&lt;0.0001</w:t>
            </w:r>
          </w:p>
          <w:bookmarkEnd w:id="0"/>
        </w:tc>
      </w:tr>
    </w:tbl>
    <w:p w14:paraId="36DED03C">
      <w:pPr>
        <w:rPr>
          <w:color w:val="000000"/>
          <w:sz w:val="20"/>
          <w:szCs w:val="20"/>
        </w:rPr>
      </w:pPr>
      <w:r>
        <w:rPr>
          <w:color w:val="000000"/>
          <w:sz w:val="20"/>
          <w:szCs w:val="20"/>
        </w:rPr>
        <w:t>Continuous data are expressed as median (interquartile range, IQR)</w:t>
      </w:r>
      <w:r>
        <w:rPr>
          <w:rFonts w:hint="eastAsia"/>
          <w:color w:val="000000"/>
          <w:sz w:val="20"/>
          <w:szCs w:val="20"/>
        </w:rPr>
        <w:t>.</w:t>
      </w:r>
    </w:p>
    <w:p w14:paraId="1CE76C0F">
      <w:pPr>
        <w:rPr>
          <w:b/>
          <w:bCs/>
          <w:sz w:val="20"/>
          <w:szCs w:val="20"/>
        </w:rPr>
      </w:pPr>
      <w:r>
        <w:rPr>
          <w:color w:val="000000"/>
          <w:sz w:val="20"/>
          <w:szCs w:val="20"/>
          <w:vertAlign w:val="superscript"/>
        </w:rPr>
        <w:t xml:space="preserve">a </w:t>
      </w:r>
      <w:r>
        <w:rPr>
          <w:color w:val="000000"/>
          <w:sz w:val="20"/>
          <w:szCs w:val="20"/>
        </w:rPr>
        <w:t>The Kruskal–Wallis H test was used to compare Histogram parameters between groups with different thymic scores</w:t>
      </w:r>
      <w:r>
        <w:rPr>
          <w:rFonts w:hint="eastAsia"/>
          <w:color w:val="000000"/>
          <w:sz w:val="20"/>
          <w:szCs w:val="20"/>
        </w:rPr>
        <w:t>.</w:t>
      </w:r>
    </w:p>
    <w:p w14:paraId="75294241">
      <w:pPr>
        <w:rPr>
          <w:rStyle w:val="34"/>
          <w:color w:val="404040"/>
          <w:sz w:val="20"/>
          <w:szCs w:val="20"/>
        </w:rPr>
      </w:pPr>
    </w:p>
    <w:p w14:paraId="4ADFAA67">
      <w:pPr>
        <w:pStyle w:val="2"/>
        <w:rPr>
          <w:rStyle w:val="34"/>
          <w:color w:val="404040"/>
          <w:sz w:val="20"/>
          <w:szCs w:val="20"/>
        </w:rPr>
      </w:pPr>
      <w:r>
        <w:rPr>
          <w:rStyle w:val="34"/>
          <w:color w:val="404040"/>
          <w:sz w:val="20"/>
          <w:szCs w:val="20"/>
        </w:rPr>
        <w:br w:type="page"/>
      </w:r>
    </w:p>
    <w:p w14:paraId="019915C0">
      <w:pPr>
        <w:rPr>
          <w:rStyle w:val="34"/>
          <w:color w:val="404040"/>
          <w:sz w:val="20"/>
          <w:szCs w:val="20"/>
        </w:rPr>
      </w:pPr>
    </w:p>
    <w:p w14:paraId="68E4228A">
      <w:pPr>
        <w:rPr>
          <w:b/>
          <w:color w:val="404040"/>
        </w:rPr>
      </w:pPr>
      <w:r>
        <w:rPr>
          <w:rStyle w:val="34"/>
          <w:color w:val="404040"/>
          <w:sz w:val="20"/>
          <w:szCs w:val="20"/>
        </w:rPr>
        <w:t xml:space="preserve">Supplementary Table </w:t>
      </w:r>
      <w:r>
        <w:rPr>
          <w:rStyle w:val="34"/>
          <w:rFonts w:hint="eastAsia"/>
          <w:color w:val="404040"/>
          <w:sz w:val="20"/>
          <w:szCs w:val="20"/>
          <w:lang w:val="en-US" w:eastAsia="zh-CN"/>
        </w:rPr>
        <w:t>4</w:t>
      </w:r>
      <w:r>
        <w:rPr>
          <w:rStyle w:val="34"/>
          <w:rFonts w:hint="eastAsia"/>
          <w:color w:val="404040"/>
          <w:sz w:val="20"/>
          <w:szCs w:val="20"/>
        </w:rPr>
        <w:t>:</w:t>
      </w:r>
      <w:r>
        <w:rPr>
          <w:rStyle w:val="34"/>
          <w:color w:val="404040"/>
          <w:sz w:val="20"/>
          <w:szCs w:val="20"/>
        </w:rPr>
        <w:t xml:space="preserve"> The diagnostic performance of thymic volume</w:t>
      </w:r>
      <w:r>
        <w:rPr>
          <w:rStyle w:val="34"/>
          <w:rFonts w:hint="eastAsia"/>
          <w:color w:val="404040"/>
          <w:sz w:val="20"/>
          <w:szCs w:val="20"/>
        </w:rPr>
        <w:t xml:space="preserve"> and </w:t>
      </w:r>
      <w:r>
        <w:rPr>
          <w:rStyle w:val="34"/>
          <w:color w:val="404040"/>
          <w:sz w:val="20"/>
          <w:szCs w:val="20"/>
        </w:rPr>
        <w:t xml:space="preserve">surface area in distinguishing between MG and </w:t>
      </w:r>
      <w:r>
        <w:rPr>
          <w:rStyle w:val="34"/>
          <w:rFonts w:hint="eastAsia"/>
          <w:color w:val="404040"/>
          <w:sz w:val="20"/>
          <w:szCs w:val="20"/>
        </w:rPr>
        <w:t>control</w:t>
      </w:r>
      <w:r>
        <w:rPr>
          <w:rStyle w:val="34"/>
          <w:color w:val="404040"/>
          <w:sz w:val="20"/>
          <w:szCs w:val="20"/>
        </w:rPr>
        <w:t xml:space="preserve"> thymus</w:t>
      </w:r>
      <w:r>
        <w:rPr>
          <w:rStyle w:val="34"/>
          <w:rFonts w:hint="eastAsia"/>
          <w:color w:val="404040"/>
          <w:sz w:val="20"/>
          <w:szCs w:val="20"/>
        </w:rPr>
        <w:t>.</w:t>
      </w:r>
    </w:p>
    <w:tbl>
      <w:tblPr>
        <w:tblStyle w:val="13"/>
        <w:tblW w:w="0" w:type="auto"/>
        <w:tblInd w:w="0" w:type="dxa"/>
        <w:tblLayout w:type="autofit"/>
        <w:tblCellMar>
          <w:top w:w="0" w:type="dxa"/>
          <w:left w:w="108" w:type="dxa"/>
          <w:bottom w:w="0" w:type="dxa"/>
          <w:right w:w="108" w:type="dxa"/>
        </w:tblCellMar>
      </w:tblPr>
      <w:tblGrid>
        <w:gridCol w:w="1999"/>
        <w:gridCol w:w="1650"/>
        <w:gridCol w:w="1650"/>
        <w:gridCol w:w="1650"/>
      </w:tblGrid>
      <w:tr w14:paraId="6629C656">
        <w:trPr>
          <w:trHeight w:val="408" w:hRule="atLeast"/>
        </w:trPr>
        <w:tc>
          <w:tcPr>
            <w:tcW w:w="0" w:type="auto"/>
            <w:tcBorders>
              <w:top w:val="single" w:color="000000" w:sz="4" w:space="0"/>
              <w:left w:val="nil"/>
              <w:bottom w:val="single" w:color="000000" w:sz="4" w:space="0"/>
              <w:right w:val="nil"/>
            </w:tcBorders>
            <w:noWrap/>
            <w:vAlign w:val="center"/>
          </w:tcPr>
          <w:p w14:paraId="130E0664">
            <w:pPr>
              <w:rPr>
                <w:color w:val="404040"/>
                <w:sz w:val="20"/>
                <w:szCs w:val="20"/>
              </w:rPr>
            </w:pPr>
          </w:p>
        </w:tc>
        <w:tc>
          <w:tcPr>
            <w:tcW w:w="0" w:type="auto"/>
            <w:tcBorders>
              <w:top w:val="single" w:color="000000" w:sz="4" w:space="0"/>
              <w:left w:val="nil"/>
              <w:bottom w:val="single" w:color="000000" w:sz="4" w:space="0"/>
              <w:right w:val="nil"/>
            </w:tcBorders>
            <w:noWrap/>
            <w:vAlign w:val="center"/>
          </w:tcPr>
          <w:p w14:paraId="1C17EBBE">
            <w:pPr>
              <w:jc w:val="center"/>
              <w:rPr>
                <w:color w:val="000000"/>
                <w:sz w:val="20"/>
                <w:szCs w:val="20"/>
                <w14:ligatures w14:val="standardContextual"/>
              </w:rPr>
            </w:pPr>
            <w:r>
              <w:rPr>
                <w:color w:val="000000"/>
                <w:sz w:val="20"/>
                <w:szCs w:val="20"/>
                <w14:ligatures w14:val="standardContextual"/>
              </w:rPr>
              <w:t>Volume</w:t>
            </w:r>
          </w:p>
        </w:tc>
        <w:tc>
          <w:tcPr>
            <w:tcW w:w="0" w:type="auto"/>
            <w:tcBorders>
              <w:top w:val="single" w:color="000000" w:sz="4" w:space="0"/>
              <w:left w:val="nil"/>
              <w:bottom w:val="single" w:color="000000" w:sz="4" w:space="0"/>
              <w:right w:val="nil"/>
            </w:tcBorders>
            <w:noWrap/>
            <w:vAlign w:val="center"/>
          </w:tcPr>
          <w:p w14:paraId="5CBBA174">
            <w:pPr>
              <w:jc w:val="center"/>
              <w:rPr>
                <w:color w:val="000000"/>
                <w:sz w:val="20"/>
                <w:szCs w:val="20"/>
                <w14:ligatures w14:val="standardContextual"/>
              </w:rPr>
            </w:pPr>
            <w:r>
              <w:rPr>
                <w:color w:val="000000"/>
                <w:sz w:val="20"/>
                <w:szCs w:val="20"/>
                <w14:ligatures w14:val="standardContextual"/>
              </w:rPr>
              <w:t>Surface area</w:t>
            </w:r>
          </w:p>
        </w:tc>
        <w:tc>
          <w:tcPr>
            <w:tcW w:w="0" w:type="auto"/>
            <w:tcBorders>
              <w:top w:val="single" w:color="000000" w:sz="4" w:space="0"/>
              <w:left w:val="nil"/>
              <w:bottom w:val="single" w:color="000000" w:sz="4" w:space="0"/>
              <w:right w:val="nil"/>
            </w:tcBorders>
            <w:noWrap/>
            <w:vAlign w:val="center"/>
          </w:tcPr>
          <w:p w14:paraId="252DB948">
            <w:pPr>
              <w:jc w:val="center"/>
              <w:rPr>
                <w:color w:val="000000"/>
                <w:sz w:val="20"/>
                <w:szCs w:val="20"/>
                <w14:ligatures w14:val="standardContextual"/>
              </w:rPr>
            </w:pPr>
            <w:r>
              <w:rPr>
                <w:color w:val="000000"/>
                <w:sz w:val="20"/>
                <w:szCs w:val="20"/>
                <w14:ligatures w14:val="standardContextual"/>
              </w:rPr>
              <w:t>S/V</w:t>
            </w:r>
          </w:p>
        </w:tc>
      </w:tr>
      <w:tr w14:paraId="7E50095F">
        <w:trPr>
          <w:trHeight w:val="408" w:hRule="atLeast"/>
        </w:trPr>
        <w:tc>
          <w:tcPr>
            <w:tcW w:w="0" w:type="auto"/>
            <w:noWrap/>
            <w:vAlign w:val="center"/>
          </w:tcPr>
          <w:p w14:paraId="6BAAC082">
            <w:pPr>
              <w:jc w:val="center"/>
              <w:rPr>
                <w:color w:val="000000"/>
                <w:sz w:val="20"/>
                <w:szCs w:val="20"/>
                <w14:ligatures w14:val="standardContextual"/>
              </w:rPr>
            </w:pPr>
            <w:r>
              <w:rPr>
                <w:color w:val="000000"/>
                <w:sz w:val="20"/>
                <w:szCs w:val="20"/>
                <w14:ligatures w14:val="standardContextual"/>
              </w:rPr>
              <w:t>Cut–off value</w:t>
            </w:r>
          </w:p>
        </w:tc>
        <w:tc>
          <w:tcPr>
            <w:tcW w:w="0" w:type="auto"/>
            <w:noWrap/>
            <w:vAlign w:val="center"/>
          </w:tcPr>
          <w:p w14:paraId="10A83151">
            <w:pPr>
              <w:jc w:val="center"/>
              <w:rPr>
                <w:color w:val="000000"/>
                <w:sz w:val="20"/>
                <w:szCs w:val="20"/>
                <w14:ligatures w14:val="standardContextual"/>
              </w:rPr>
            </w:pPr>
            <w:r>
              <w:rPr>
                <w:color w:val="000000"/>
                <w:sz w:val="20"/>
                <w:szCs w:val="20"/>
                <w14:ligatures w14:val="standardContextual"/>
              </w:rPr>
              <w:t>&gt;53000mm</w:t>
            </w:r>
            <w:r>
              <w:rPr>
                <w:color w:val="000000"/>
                <w:sz w:val="20"/>
                <w:szCs w:val="20"/>
                <w:vertAlign w:val="superscript"/>
                <w14:ligatures w14:val="standardContextual"/>
              </w:rPr>
              <w:t>3</w:t>
            </w:r>
          </w:p>
        </w:tc>
        <w:tc>
          <w:tcPr>
            <w:tcW w:w="0" w:type="auto"/>
            <w:noWrap/>
            <w:vAlign w:val="center"/>
          </w:tcPr>
          <w:p w14:paraId="1F78AE18">
            <w:pPr>
              <w:jc w:val="center"/>
              <w:rPr>
                <w:color w:val="000000"/>
                <w:sz w:val="20"/>
                <w:szCs w:val="20"/>
                <w14:ligatures w14:val="standardContextual"/>
              </w:rPr>
            </w:pPr>
            <w:r>
              <w:rPr>
                <w:color w:val="000000"/>
                <w:sz w:val="20"/>
                <w:szCs w:val="20"/>
                <w14:ligatures w14:val="standardContextual"/>
              </w:rPr>
              <w:t>&gt;12500mm</w:t>
            </w:r>
            <w:r>
              <w:rPr>
                <w:color w:val="000000"/>
                <w:sz w:val="20"/>
                <w:szCs w:val="20"/>
                <w:vertAlign w:val="superscript"/>
                <w14:ligatures w14:val="standardContextual"/>
              </w:rPr>
              <w:t>2</w:t>
            </w:r>
          </w:p>
        </w:tc>
        <w:tc>
          <w:tcPr>
            <w:tcW w:w="0" w:type="auto"/>
            <w:noWrap/>
            <w:vAlign w:val="center"/>
          </w:tcPr>
          <w:p w14:paraId="73BB9500">
            <w:pPr>
              <w:jc w:val="center"/>
              <w:rPr>
                <w:color w:val="000000"/>
                <w:sz w:val="20"/>
                <w:szCs w:val="20"/>
                <w14:ligatures w14:val="standardContextual"/>
              </w:rPr>
            </w:pPr>
            <w:r>
              <w:rPr>
                <w:color w:val="000000"/>
                <w:sz w:val="20"/>
                <w:szCs w:val="20"/>
                <w14:ligatures w14:val="standardContextual"/>
              </w:rPr>
              <w:t>&lt;0.27</w:t>
            </w:r>
          </w:p>
        </w:tc>
      </w:tr>
      <w:tr w14:paraId="062AED79">
        <w:trPr>
          <w:trHeight w:val="420" w:hRule="atLeast"/>
        </w:trPr>
        <w:tc>
          <w:tcPr>
            <w:tcW w:w="0" w:type="auto"/>
            <w:noWrap/>
            <w:vAlign w:val="center"/>
          </w:tcPr>
          <w:p w14:paraId="5F8482C3">
            <w:pPr>
              <w:jc w:val="center"/>
              <w:rPr>
                <w:color w:val="000000"/>
                <w:sz w:val="20"/>
                <w:szCs w:val="20"/>
                <w14:ligatures w14:val="standardContextual"/>
              </w:rPr>
            </w:pPr>
            <w:r>
              <w:rPr>
                <w:color w:val="000000"/>
                <w:sz w:val="20"/>
                <w:szCs w:val="20"/>
                <w14:ligatures w14:val="standardContextual"/>
              </w:rPr>
              <w:t>AUC (95%CI)</w:t>
            </w:r>
          </w:p>
        </w:tc>
        <w:tc>
          <w:tcPr>
            <w:tcW w:w="0" w:type="auto"/>
            <w:noWrap/>
            <w:vAlign w:val="center"/>
          </w:tcPr>
          <w:p w14:paraId="7999596A">
            <w:pPr>
              <w:jc w:val="center"/>
              <w:rPr>
                <w:color w:val="000000"/>
                <w:sz w:val="20"/>
                <w:szCs w:val="20"/>
                <w14:ligatures w14:val="standardContextual"/>
              </w:rPr>
            </w:pPr>
            <w:r>
              <w:rPr>
                <w:color w:val="000000"/>
                <w:sz w:val="20"/>
                <w:szCs w:val="20"/>
                <w14:ligatures w14:val="standardContextual"/>
              </w:rPr>
              <w:t>0.86 (0.81 – 0.91)</w:t>
            </w:r>
          </w:p>
        </w:tc>
        <w:tc>
          <w:tcPr>
            <w:tcW w:w="0" w:type="auto"/>
            <w:noWrap/>
            <w:vAlign w:val="center"/>
          </w:tcPr>
          <w:p w14:paraId="0B082AE7">
            <w:pPr>
              <w:jc w:val="center"/>
              <w:rPr>
                <w:color w:val="000000"/>
                <w:sz w:val="20"/>
                <w:szCs w:val="20"/>
                <w14:ligatures w14:val="standardContextual"/>
              </w:rPr>
            </w:pPr>
            <w:r>
              <w:rPr>
                <w:color w:val="000000"/>
                <w:sz w:val="20"/>
                <w:szCs w:val="20"/>
                <w14:ligatures w14:val="standardContextual"/>
              </w:rPr>
              <w:t>0.88 (0.83 – 0.93)</w:t>
            </w:r>
          </w:p>
        </w:tc>
        <w:tc>
          <w:tcPr>
            <w:tcW w:w="0" w:type="auto"/>
            <w:noWrap/>
            <w:vAlign w:val="center"/>
          </w:tcPr>
          <w:p w14:paraId="536288E7">
            <w:pPr>
              <w:jc w:val="center"/>
              <w:rPr>
                <w:color w:val="000000"/>
                <w:sz w:val="20"/>
                <w:szCs w:val="20"/>
                <w14:ligatures w14:val="standardContextual"/>
              </w:rPr>
            </w:pPr>
            <w:r>
              <w:rPr>
                <w:color w:val="000000"/>
                <w:sz w:val="20"/>
                <w:szCs w:val="20"/>
                <w14:ligatures w14:val="standardContextual"/>
              </w:rPr>
              <w:t>0.78 (0.73 – 0.83)</w:t>
            </w:r>
          </w:p>
        </w:tc>
      </w:tr>
      <w:tr w14:paraId="2855677D">
        <w:trPr>
          <w:trHeight w:val="408" w:hRule="atLeast"/>
        </w:trPr>
        <w:tc>
          <w:tcPr>
            <w:tcW w:w="0" w:type="auto"/>
            <w:noWrap/>
            <w:vAlign w:val="center"/>
          </w:tcPr>
          <w:p w14:paraId="37E4EF7C">
            <w:pPr>
              <w:jc w:val="center"/>
              <w:rPr>
                <w:color w:val="000000"/>
                <w:sz w:val="20"/>
                <w:szCs w:val="20"/>
                <w14:ligatures w14:val="standardContextual"/>
              </w:rPr>
            </w:pPr>
            <w:r>
              <w:rPr>
                <w:color w:val="000000"/>
                <w:sz w:val="20"/>
                <w:szCs w:val="20"/>
                <w14:ligatures w14:val="standardContextual"/>
              </w:rPr>
              <w:t>Sensitivity% (95%CI)</w:t>
            </w:r>
          </w:p>
        </w:tc>
        <w:tc>
          <w:tcPr>
            <w:tcW w:w="0" w:type="auto"/>
            <w:noWrap/>
            <w:vAlign w:val="center"/>
          </w:tcPr>
          <w:p w14:paraId="64C4282F">
            <w:pPr>
              <w:jc w:val="center"/>
              <w:rPr>
                <w:color w:val="000000"/>
                <w:sz w:val="20"/>
                <w:szCs w:val="20"/>
                <w14:ligatures w14:val="standardContextual"/>
              </w:rPr>
            </w:pPr>
            <w:r>
              <w:rPr>
                <w:color w:val="000000"/>
                <w:sz w:val="20"/>
                <w:szCs w:val="20"/>
                <w14:ligatures w14:val="standardContextual"/>
              </w:rPr>
              <w:t>85 (80 – 90)</w:t>
            </w:r>
          </w:p>
        </w:tc>
        <w:tc>
          <w:tcPr>
            <w:tcW w:w="0" w:type="auto"/>
            <w:noWrap/>
            <w:vAlign w:val="center"/>
          </w:tcPr>
          <w:p w14:paraId="54467F7F">
            <w:pPr>
              <w:jc w:val="center"/>
              <w:rPr>
                <w:color w:val="000000"/>
                <w:sz w:val="20"/>
                <w:szCs w:val="20"/>
                <w14:ligatures w14:val="standardContextual"/>
              </w:rPr>
            </w:pPr>
            <w:r>
              <w:rPr>
                <w:color w:val="000000"/>
                <w:sz w:val="20"/>
                <w:szCs w:val="20"/>
                <w14:ligatures w14:val="standardContextual"/>
              </w:rPr>
              <w:t>88 (84 – 92)</w:t>
            </w:r>
          </w:p>
        </w:tc>
        <w:tc>
          <w:tcPr>
            <w:tcW w:w="0" w:type="auto"/>
            <w:noWrap/>
            <w:vAlign w:val="center"/>
          </w:tcPr>
          <w:p w14:paraId="2F95FE9C">
            <w:pPr>
              <w:jc w:val="center"/>
              <w:rPr>
                <w:color w:val="000000"/>
                <w:sz w:val="20"/>
                <w:szCs w:val="20"/>
                <w14:ligatures w14:val="standardContextual"/>
              </w:rPr>
            </w:pPr>
            <w:r>
              <w:rPr>
                <w:color w:val="000000"/>
                <w:sz w:val="20"/>
                <w:szCs w:val="20"/>
                <w14:ligatures w14:val="standardContextual"/>
              </w:rPr>
              <w:t>76 (70 – 82)</w:t>
            </w:r>
          </w:p>
        </w:tc>
      </w:tr>
      <w:tr w14:paraId="13C9416D">
        <w:trPr>
          <w:trHeight w:val="408" w:hRule="atLeast"/>
        </w:trPr>
        <w:tc>
          <w:tcPr>
            <w:tcW w:w="0" w:type="auto"/>
            <w:noWrap/>
            <w:vAlign w:val="center"/>
          </w:tcPr>
          <w:p w14:paraId="6F6FDE74">
            <w:pPr>
              <w:jc w:val="center"/>
              <w:rPr>
                <w:color w:val="000000"/>
                <w:sz w:val="20"/>
                <w:szCs w:val="20"/>
                <w14:ligatures w14:val="standardContextual"/>
              </w:rPr>
            </w:pPr>
            <w:r>
              <w:rPr>
                <w:color w:val="000000"/>
                <w:sz w:val="20"/>
                <w:szCs w:val="20"/>
                <w14:ligatures w14:val="standardContextual"/>
              </w:rPr>
              <w:t>Specificity%</w:t>
            </w:r>
            <w:r>
              <w:rPr>
                <w:rFonts w:hint="eastAsia"/>
                <w:color w:val="000000"/>
                <w:sz w:val="20"/>
                <w:szCs w:val="20"/>
                <w14:ligatures w14:val="standardContextual"/>
              </w:rPr>
              <w:t xml:space="preserve"> </w:t>
            </w:r>
            <w:r>
              <w:rPr>
                <w:color w:val="000000"/>
                <w:sz w:val="20"/>
                <w:szCs w:val="20"/>
                <w14:ligatures w14:val="standardContextual"/>
              </w:rPr>
              <w:t>(95%CI)</w:t>
            </w:r>
          </w:p>
        </w:tc>
        <w:tc>
          <w:tcPr>
            <w:tcW w:w="0" w:type="auto"/>
            <w:noWrap/>
            <w:vAlign w:val="center"/>
          </w:tcPr>
          <w:p w14:paraId="31B60340">
            <w:pPr>
              <w:jc w:val="center"/>
              <w:rPr>
                <w:color w:val="000000"/>
                <w:sz w:val="20"/>
                <w:szCs w:val="20"/>
                <w14:ligatures w14:val="standardContextual"/>
              </w:rPr>
            </w:pPr>
            <w:r>
              <w:rPr>
                <w:color w:val="000000"/>
                <w:sz w:val="20"/>
                <w:szCs w:val="20"/>
                <w14:ligatures w14:val="standardContextual"/>
              </w:rPr>
              <w:t>82 (77 – 87)</w:t>
            </w:r>
          </w:p>
        </w:tc>
        <w:tc>
          <w:tcPr>
            <w:tcW w:w="0" w:type="auto"/>
            <w:noWrap/>
            <w:vAlign w:val="center"/>
          </w:tcPr>
          <w:p w14:paraId="2EA77283">
            <w:pPr>
              <w:jc w:val="center"/>
              <w:rPr>
                <w:color w:val="000000"/>
                <w:sz w:val="20"/>
                <w:szCs w:val="20"/>
                <w14:ligatures w14:val="standardContextual"/>
              </w:rPr>
            </w:pPr>
            <w:r>
              <w:rPr>
                <w:color w:val="000000"/>
                <w:sz w:val="20"/>
                <w:szCs w:val="20"/>
                <w14:ligatures w14:val="standardContextual"/>
              </w:rPr>
              <w:t>87 (82 – 92)</w:t>
            </w:r>
          </w:p>
        </w:tc>
        <w:tc>
          <w:tcPr>
            <w:tcW w:w="0" w:type="auto"/>
            <w:noWrap/>
            <w:vAlign w:val="center"/>
          </w:tcPr>
          <w:p w14:paraId="68E0D145">
            <w:pPr>
              <w:jc w:val="center"/>
              <w:rPr>
                <w:color w:val="000000"/>
                <w:sz w:val="20"/>
                <w:szCs w:val="20"/>
                <w14:ligatures w14:val="standardContextual"/>
              </w:rPr>
            </w:pPr>
            <w:r>
              <w:rPr>
                <w:color w:val="000000"/>
                <w:sz w:val="20"/>
                <w:szCs w:val="20"/>
                <w14:ligatures w14:val="standardContextual"/>
              </w:rPr>
              <w:t>80 (75 – 85)</w:t>
            </w:r>
          </w:p>
        </w:tc>
      </w:tr>
      <w:tr w14:paraId="298AE684">
        <w:trPr>
          <w:trHeight w:val="408" w:hRule="atLeast"/>
        </w:trPr>
        <w:tc>
          <w:tcPr>
            <w:tcW w:w="0" w:type="auto"/>
            <w:noWrap/>
            <w:vAlign w:val="center"/>
          </w:tcPr>
          <w:p w14:paraId="2ADFA1A7">
            <w:pPr>
              <w:jc w:val="center"/>
              <w:rPr>
                <w:color w:val="000000"/>
                <w:sz w:val="20"/>
                <w:szCs w:val="20"/>
                <w14:ligatures w14:val="standardContextual"/>
              </w:rPr>
            </w:pPr>
            <w:r>
              <w:rPr>
                <w:color w:val="000000"/>
                <w:sz w:val="20"/>
                <w:szCs w:val="20"/>
                <w14:ligatures w14:val="standardContextual"/>
              </w:rPr>
              <w:t>PPV% (95%CI)</w:t>
            </w:r>
          </w:p>
        </w:tc>
        <w:tc>
          <w:tcPr>
            <w:tcW w:w="0" w:type="auto"/>
            <w:noWrap/>
            <w:vAlign w:val="center"/>
          </w:tcPr>
          <w:p w14:paraId="60496034">
            <w:pPr>
              <w:jc w:val="center"/>
              <w:rPr>
                <w:color w:val="000000"/>
                <w:sz w:val="20"/>
                <w:szCs w:val="20"/>
                <w14:ligatures w14:val="standardContextual"/>
              </w:rPr>
            </w:pPr>
            <w:r>
              <w:rPr>
                <w:color w:val="000000"/>
                <w:sz w:val="20"/>
                <w:szCs w:val="20"/>
                <w14:ligatures w14:val="standardContextual"/>
              </w:rPr>
              <w:t>78 (73 – 83)</w:t>
            </w:r>
          </w:p>
        </w:tc>
        <w:tc>
          <w:tcPr>
            <w:tcW w:w="0" w:type="auto"/>
            <w:noWrap/>
            <w:vAlign w:val="center"/>
          </w:tcPr>
          <w:p w14:paraId="79FC913D">
            <w:pPr>
              <w:jc w:val="center"/>
              <w:rPr>
                <w:color w:val="000000"/>
                <w:sz w:val="20"/>
                <w:szCs w:val="20"/>
                <w14:ligatures w14:val="standardContextual"/>
              </w:rPr>
            </w:pPr>
            <w:r>
              <w:rPr>
                <w:color w:val="000000"/>
                <w:sz w:val="20"/>
                <w:szCs w:val="20"/>
                <w14:ligatures w14:val="standardContextual"/>
              </w:rPr>
              <w:t>85 (80 – 90)</w:t>
            </w:r>
          </w:p>
        </w:tc>
        <w:tc>
          <w:tcPr>
            <w:tcW w:w="0" w:type="auto"/>
            <w:noWrap/>
            <w:vAlign w:val="center"/>
          </w:tcPr>
          <w:p w14:paraId="695CD601">
            <w:pPr>
              <w:jc w:val="center"/>
              <w:rPr>
                <w:color w:val="000000"/>
                <w:sz w:val="20"/>
                <w:szCs w:val="20"/>
                <w14:ligatures w14:val="standardContextual"/>
              </w:rPr>
            </w:pPr>
            <w:r>
              <w:rPr>
                <w:color w:val="000000"/>
                <w:sz w:val="20"/>
                <w:szCs w:val="20"/>
                <w14:ligatures w14:val="standardContextual"/>
              </w:rPr>
              <w:t>78 (72 – 84)</w:t>
            </w:r>
          </w:p>
        </w:tc>
      </w:tr>
      <w:tr w14:paraId="58BCD6CF">
        <w:trPr>
          <w:trHeight w:val="408" w:hRule="atLeast"/>
        </w:trPr>
        <w:tc>
          <w:tcPr>
            <w:tcW w:w="0" w:type="auto"/>
            <w:tcBorders>
              <w:top w:val="nil"/>
              <w:left w:val="nil"/>
              <w:bottom w:val="single" w:color="000000" w:sz="4" w:space="0"/>
              <w:right w:val="nil"/>
            </w:tcBorders>
            <w:noWrap/>
            <w:vAlign w:val="center"/>
          </w:tcPr>
          <w:p w14:paraId="50BA1CFC">
            <w:pPr>
              <w:jc w:val="center"/>
              <w:rPr>
                <w:color w:val="000000"/>
                <w:sz w:val="20"/>
                <w:szCs w:val="20"/>
                <w14:ligatures w14:val="standardContextual"/>
              </w:rPr>
            </w:pPr>
            <w:r>
              <w:rPr>
                <w:color w:val="000000"/>
                <w:sz w:val="20"/>
                <w:szCs w:val="20"/>
                <w14:ligatures w14:val="standardContextual"/>
              </w:rPr>
              <w:t>NPV% (95%CI)</w:t>
            </w:r>
          </w:p>
        </w:tc>
        <w:tc>
          <w:tcPr>
            <w:tcW w:w="0" w:type="auto"/>
            <w:tcBorders>
              <w:top w:val="nil"/>
              <w:left w:val="nil"/>
              <w:bottom w:val="single" w:color="000000" w:sz="4" w:space="0"/>
              <w:right w:val="nil"/>
            </w:tcBorders>
            <w:noWrap/>
            <w:vAlign w:val="center"/>
          </w:tcPr>
          <w:p w14:paraId="0EF6D0E2">
            <w:pPr>
              <w:jc w:val="center"/>
              <w:rPr>
                <w:color w:val="000000"/>
                <w:sz w:val="20"/>
                <w:szCs w:val="20"/>
                <w14:ligatures w14:val="standardContextual"/>
              </w:rPr>
            </w:pPr>
            <w:r>
              <w:rPr>
                <w:color w:val="000000"/>
                <w:sz w:val="20"/>
                <w:szCs w:val="20"/>
                <w14:ligatures w14:val="standardContextual"/>
              </w:rPr>
              <w:t>88 (83 –</w:t>
            </w:r>
            <w:r>
              <w:rPr>
                <w:rFonts w:hint="eastAsia"/>
                <w:color w:val="000000"/>
                <w:sz w:val="20"/>
                <w:szCs w:val="20"/>
                <w14:ligatures w14:val="standardContextual"/>
              </w:rPr>
              <w:t xml:space="preserve"> </w:t>
            </w:r>
            <w:r>
              <w:rPr>
                <w:color w:val="000000"/>
                <w:sz w:val="20"/>
                <w:szCs w:val="20"/>
                <w14:ligatures w14:val="standardContextual"/>
              </w:rPr>
              <w:t>93)</w:t>
            </w:r>
          </w:p>
        </w:tc>
        <w:tc>
          <w:tcPr>
            <w:tcW w:w="0" w:type="auto"/>
            <w:tcBorders>
              <w:top w:val="nil"/>
              <w:left w:val="nil"/>
              <w:bottom w:val="single" w:color="000000" w:sz="4" w:space="0"/>
              <w:right w:val="nil"/>
            </w:tcBorders>
            <w:noWrap/>
            <w:vAlign w:val="center"/>
          </w:tcPr>
          <w:p w14:paraId="2DB81FB5">
            <w:pPr>
              <w:jc w:val="center"/>
              <w:rPr>
                <w:color w:val="000000"/>
                <w:sz w:val="20"/>
                <w:szCs w:val="20"/>
                <w14:ligatures w14:val="standardContextual"/>
              </w:rPr>
            </w:pPr>
            <w:r>
              <w:rPr>
                <w:color w:val="000000"/>
                <w:sz w:val="20"/>
                <w:szCs w:val="20"/>
                <w14:ligatures w14:val="standardContextual"/>
              </w:rPr>
              <w:t>87 (82 – 92)</w:t>
            </w:r>
          </w:p>
        </w:tc>
        <w:tc>
          <w:tcPr>
            <w:tcW w:w="0" w:type="auto"/>
            <w:tcBorders>
              <w:top w:val="nil"/>
              <w:left w:val="nil"/>
              <w:bottom w:val="single" w:color="000000" w:sz="4" w:space="0"/>
              <w:right w:val="nil"/>
            </w:tcBorders>
            <w:noWrap/>
            <w:vAlign w:val="center"/>
          </w:tcPr>
          <w:p w14:paraId="0BA51FAD">
            <w:pPr>
              <w:jc w:val="center"/>
              <w:rPr>
                <w:color w:val="000000"/>
                <w:sz w:val="20"/>
                <w:szCs w:val="20"/>
                <w14:ligatures w14:val="standardContextual"/>
              </w:rPr>
            </w:pPr>
            <w:r>
              <w:rPr>
                <w:color w:val="000000"/>
                <w:sz w:val="20"/>
                <w:szCs w:val="20"/>
                <w14:ligatures w14:val="standardContextual"/>
              </w:rPr>
              <w:t>78 (73 – 83)</w:t>
            </w:r>
          </w:p>
        </w:tc>
      </w:tr>
    </w:tbl>
    <w:p w14:paraId="5F89AE6C">
      <w:pPr>
        <w:rPr>
          <w:rStyle w:val="34"/>
          <w:b w:val="0"/>
          <w:bCs/>
          <w:color w:val="404040"/>
          <w:kern w:val="0"/>
          <w:sz w:val="20"/>
          <w:szCs w:val="20"/>
        </w:rPr>
      </w:pPr>
      <w:r>
        <w:rPr>
          <w:rStyle w:val="34"/>
          <w:b w:val="0"/>
          <w:bCs/>
          <w:color w:val="404040"/>
          <w:kern w:val="0"/>
          <w:sz w:val="20"/>
          <w:szCs w:val="20"/>
        </w:rPr>
        <w:t>PPV, Positive Predictive Value; NPV, Negative Predictive Value</w:t>
      </w:r>
    </w:p>
    <w:p w14:paraId="3FF53C4D">
      <w:pPr>
        <w:widowControl/>
        <w:jc w:val="left"/>
        <w:rPr>
          <w:rFonts w:eastAsiaTheme="majorEastAsia"/>
          <w:color w:val="104862" w:themeColor="accent1" w:themeShade="BF"/>
          <w:sz w:val="20"/>
          <w:szCs w:val="20"/>
          <w14:ligatures w14:val="standardContextual"/>
        </w:rPr>
      </w:pPr>
      <w:r>
        <w:rPr>
          <w:sz w:val="20"/>
          <w:szCs w:val="20"/>
        </w:rPr>
        <w:br w:type="page"/>
      </w:r>
    </w:p>
    <w:p w14:paraId="7E1ACB1A">
      <w:pPr>
        <w:rPr>
          <w:b/>
          <w:color w:val="404040"/>
        </w:rPr>
      </w:pPr>
      <w:r>
        <w:rPr>
          <w:rStyle w:val="34"/>
          <w:color w:val="404040"/>
          <w:sz w:val="20"/>
          <w:szCs w:val="20"/>
        </w:rPr>
        <w:t xml:space="preserve">Supplementary Table </w:t>
      </w:r>
      <w:r>
        <w:rPr>
          <w:rStyle w:val="34"/>
          <w:rFonts w:hint="eastAsia"/>
          <w:color w:val="404040"/>
          <w:sz w:val="20"/>
          <w:szCs w:val="20"/>
          <w:lang w:val="en-US" w:eastAsia="zh-CN"/>
        </w:rPr>
        <w:t>5</w:t>
      </w:r>
      <w:r>
        <w:rPr>
          <w:rStyle w:val="34"/>
          <w:color w:val="404040"/>
          <w:sz w:val="20"/>
          <w:szCs w:val="20"/>
        </w:rPr>
        <w:t xml:space="preserve">: The diagnostic performance of thymic volume and surface area in distinguishing between </w:t>
      </w:r>
      <w:r>
        <w:rPr>
          <w:rStyle w:val="34"/>
          <w:rFonts w:hint="eastAsia"/>
          <w:color w:val="404040"/>
          <w:sz w:val="20"/>
          <w:szCs w:val="20"/>
        </w:rPr>
        <w:t>EO</w:t>
      </w:r>
      <w:r>
        <w:rPr>
          <w:rStyle w:val="34"/>
          <w:color w:val="404040"/>
          <w:sz w:val="20"/>
          <w:szCs w:val="20"/>
        </w:rPr>
        <w:t>MG and control thymus</w:t>
      </w:r>
      <w:r>
        <w:rPr>
          <w:rStyle w:val="34"/>
          <w:rFonts w:hint="eastAsia"/>
          <w:color w:val="404040"/>
          <w:sz w:val="20"/>
          <w:szCs w:val="20"/>
        </w:rPr>
        <w:t>.</w:t>
      </w:r>
    </w:p>
    <w:tbl>
      <w:tblPr>
        <w:tblStyle w:val="13"/>
        <w:tblW w:w="0" w:type="auto"/>
        <w:tblInd w:w="0" w:type="dxa"/>
        <w:tblLayout w:type="autofit"/>
        <w:tblCellMar>
          <w:top w:w="0" w:type="dxa"/>
          <w:left w:w="108" w:type="dxa"/>
          <w:bottom w:w="0" w:type="dxa"/>
          <w:right w:w="108" w:type="dxa"/>
        </w:tblCellMar>
      </w:tblPr>
      <w:tblGrid>
        <w:gridCol w:w="1999"/>
        <w:gridCol w:w="1650"/>
        <w:gridCol w:w="1650"/>
        <w:gridCol w:w="1650"/>
      </w:tblGrid>
      <w:tr w14:paraId="6F18D221">
        <w:trPr>
          <w:trHeight w:val="408" w:hRule="atLeast"/>
        </w:trPr>
        <w:tc>
          <w:tcPr>
            <w:tcW w:w="0" w:type="auto"/>
            <w:tcBorders>
              <w:top w:val="single" w:color="000000" w:sz="4" w:space="0"/>
              <w:left w:val="nil"/>
              <w:bottom w:val="single" w:color="000000" w:sz="4" w:space="0"/>
              <w:right w:val="nil"/>
            </w:tcBorders>
            <w:noWrap/>
            <w:vAlign w:val="center"/>
          </w:tcPr>
          <w:p w14:paraId="64EE8D31">
            <w:pPr>
              <w:rPr>
                <w:rFonts w:eastAsia="Times New Roman"/>
                <w:sz w:val="20"/>
                <w:szCs w:val="20"/>
              </w:rPr>
            </w:pPr>
          </w:p>
        </w:tc>
        <w:tc>
          <w:tcPr>
            <w:tcW w:w="0" w:type="auto"/>
            <w:tcBorders>
              <w:top w:val="single" w:color="000000" w:sz="4" w:space="0"/>
              <w:left w:val="nil"/>
              <w:bottom w:val="single" w:color="000000" w:sz="4" w:space="0"/>
              <w:right w:val="nil"/>
            </w:tcBorders>
            <w:noWrap/>
            <w:vAlign w:val="center"/>
          </w:tcPr>
          <w:p w14:paraId="2EAB8E9B">
            <w:pPr>
              <w:jc w:val="center"/>
              <w:rPr>
                <w:color w:val="000000"/>
                <w:sz w:val="20"/>
                <w:szCs w:val="20"/>
              </w:rPr>
            </w:pPr>
            <w:r>
              <w:rPr>
                <w:color w:val="000000"/>
                <w:sz w:val="20"/>
                <w:szCs w:val="20"/>
              </w:rPr>
              <w:t>Volume</w:t>
            </w:r>
          </w:p>
        </w:tc>
        <w:tc>
          <w:tcPr>
            <w:tcW w:w="0" w:type="auto"/>
            <w:tcBorders>
              <w:top w:val="single" w:color="000000" w:sz="4" w:space="0"/>
              <w:left w:val="nil"/>
              <w:bottom w:val="single" w:color="000000" w:sz="4" w:space="0"/>
              <w:right w:val="nil"/>
            </w:tcBorders>
            <w:noWrap/>
            <w:vAlign w:val="center"/>
          </w:tcPr>
          <w:p w14:paraId="068AA92D">
            <w:pPr>
              <w:jc w:val="center"/>
              <w:rPr>
                <w:color w:val="000000"/>
                <w:sz w:val="20"/>
                <w:szCs w:val="20"/>
              </w:rPr>
            </w:pPr>
            <w:r>
              <w:rPr>
                <w:color w:val="000000"/>
                <w:sz w:val="20"/>
                <w:szCs w:val="20"/>
              </w:rPr>
              <w:t>SA</w:t>
            </w:r>
          </w:p>
        </w:tc>
        <w:tc>
          <w:tcPr>
            <w:tcW w:w="0" w:type="auto"/>
            <w:tcBorders>
              <w:top w:val="single" w:color="000000" w:sz="4" w:space="0"/>
              <w:left w:val="nil"/>
              <w:bottom w:val="single" w:color="000000" w:sz="4" w:space="0"/>
              <w:right w:val="nil"/>
            </w:tcBorders>
            <w:noWrap/>
            <w:vAlign w:val="center"/>
          </w:tcPr>
          <w:p w14:paraId="1088E729">
            <w:pPr>
              <w:jc w:val="center"/>
              <w:rPr>
                <w:color w:val="000000"/>
                <w:sz w:val="20"/>
                <w:szCs w:val="20"/>
              </w:rPr>
            </w:pPr>
            <w:r>
              <w:rPr>
                <w:color w:val="000000"/>
                <w:sz w:val="20"/>
                <w:szCs w:val="20"/>
              </w:rPr>
              <w:t>SSA</w:t>
            </w:r>
          </w:p>
        </w:tc>
      </w:tr>
      <w:tr w14:paraId="0A5264BB">
        <w:trPr>
          <w:trHeight w:val="408" w:hRule="atLeast"/>
        </w:trPr>
        <w:tc>
          <w:tcPr>
            <w:tcW w:w="0" w:type="auto"/>
            <w:tcBorders>
              <w:top w:val="nil"/>
              <w:left w:val="nil"/>
              <w:bottom w:val="nil"/>
              <w:right w:val="nil"/>
            </w:tcBorders>
            <w:noWrap/>
            <w:vAlign w:val="center"/>
          </w:tcPr>
          <w:p w14:paraId="26422BB5">
            <w:pPr>
              <w:jc w:val="center"/>
              <w:rPr>
                <w:color w:val="000000"/>
                <w:sz w:val="20"/>
                <w:szCs w:val="20"/>
              </w:rPr>
            </w:pPr>
            <w:r>
              <w:rPr>
                <w:color w:val="000000"/>
                <w:sz w:val="20"/>
                <w:szCs w:val="20"/>
              </w:rPr>
              <w:t>Cut–off value</w:t>
            </w:r>
          </w:p>
        </w:tc>
        <w:tc>
          <w:tcPr>
            <w:tcW w:w="0" w:type="auto"/>
            <w:tcBorders>
              <w:top w:val="nil"/>
              <w:left w:val="nil"/>
              <w:bottom w:val="nil"/>
              <w:right w:val="nil"/>
            </w:tcBorders>
            <w:noWrap/>
            <w:vAlign w:val="center"/>
          </w:tcPr>
          <w:p w14:paraId="53939200">
            <w:pPr>
              <w:jc w:val="center"/>
              <w:rPr>
                <w:color w:val="000000"/>
                <w:sz w:val="20"/>
                <w:szCs w:val="20"/>
              </w:rPr>
            </w:pPr>
            <w:r>
              <w:rPr>
                <w:color w:val="000000"/>
                <w:sz w:val="20"/>
                <w:szCs w:val="20"/>
              </w:rPr>
              <w:t>&gt;</w:t>
            </w:r>
            <w:r>
              <w:rPr>
                <w:rFonts w:hint="eastAsia"/>
                <w:color w:val="000000"/>
                <w:sz w:val="20"/>
                <w:szCs w:val="20"/>
              </w:rPr>
              <w:t>151</w:t>
            </w:r>
            <w:r>
              <w:rPr>
                <w:color w:val="000000"/>
                <w:sz w:val="20"/>
                <w:szCs w:val="20"/>
              </w:rPr>
              <w:t>00mm</w:t>
            </w:r>
            <w:r>
              <w:rPr>
                <w:color w:val="000000"/>
                <w:sz w:val="20"/>
                <w:szCs w:val="20"/>
                <w:vertAlign w:val="superscript"/>
              </w:rPr>
              <w:t>3</w:t>
            </w:r>
          </w:p>
        </w:tc>
        <w:tc>
          <w:tcPr>
            <w:tcW w:w="0" w:type="auto"/>
            <w:tcBorders>
              <w:top w:val="nil"/>
              <w:left w:val="nil"/>
              <w:bottom w:val="nil"/>
              <w:right w:val="nil"/>
            </w:tcBorders>
            <w:noWrap/>
            <w:vAlign w:val="center"/>
          </w:tcPr>
          <w:p w14:paraId="5F54DC45">
            <w:pPr>
              <w:jc w:val="center"/>
              <w:rPr>
                <w:color w:val="000000"/>
                <w:sz w:val="20"/>
                <w:szCs w:val="20"/>
              </w:rPr>
            </w:pPr>
            <w:r>
              <w:rPr>
                <w:color w:val="000000"/>
                <w:sz w:val="20"/>
                <w:szCs w:val="20"/>
              </w:rPr>
              <w:t>&gt;</w:t>
            </w:r>
            <w:r>
              <w:rPr>
                <w:rFonts w:hint="eastAsia"/>
                <w:color w:val="000000"/>
                <w:sz w:val="20"/>
                <w:szCs w:val="20"/>
              </w:rPr>
              <w:t>5500</w:t>
            </w:r>
            <w:r>
              <w:rPr>
                <w:color w:val="000000"/>
                <w:sz w:val="20"/>
                <w:szCs w:val="20"/>
              </w:rPr>
              <w:t>mm</w:t>
            </w:r>
            <w:r>
              <w:rPr>
                <w:color w:val="000000"/>
                <w:sz w:val="20"/>
                <w:szCs w:val="20"/>
                <w:vertAlign w:val="superscript"/>
              </w:rPr>
              <w:t>2</w:t>
            </w:r>
          </w:p>
        </w:tc>
        <w:tc>
          <w:tcPr>
            <w:tcW w:w="0" w:type="auto"/>
            <w:tcBorders>
              <w:top w:val="nil"/>
              <w:left w:val="nil"/>
              <w:bottom w:val="nil"/>
              <w:right w:val="nil"/>
            </w:tcBorders>
            <w:noWrap/>
            <w:vAlign w:val="center"/>
          </w:tcPr>
          <w:p w14:paraId="55932DD7">
            <w:pPr>
              <w:jc w:val="center"/>
              <w:rPr>
                <w:color w:val="000000"/>
                <w:sz w:val="20"/>
                <w:szCs w:val="20"/>
              </w:rPr>
            </w:pPr>
            <w:r>
              <w:rPr>
                <w:color w:val="000000"/>
                <w:sz w:val="20"/>
                <w:szCs w:val="20"/>
              </w:rPr>
              <w:t>&lt;0.</w:t>
            </w:r>
            <w:r>
              <w:rPr>
                <w:rFonts w:hint="eastAsia"/>
                <w:color w:val="000000"/>
                <w:sz w:val="20"/>
                <w:szCs w:val="20"/>
              </w:rPr>
              <w:t>31</w:t>
            </w:r>
          </w:p>
        </w:tc>
      </w:tr>
      <w:tr w14:paraId="1B86FDD0">
        <w:trPr>
          <w:trHeight w:val="420" w:hRule="atLeast"/>
        </w:trPr>
        <w:tc>
          <w:tcPr>
            <w:tcW w:w="0" w:type="auto"/>
            <w:tcBorders>
              <w:top w:val="nil"/>
              <w:left w:val="nil"/>
              <w:bottom w:val="nil"/>
              <w:right w:val="nil"/>
            </w:tcBorders>
            <w:noWrap/>
            <w:vAlign w:val="center"/>
          </w:tcPr>
          <w:p w14:paraId="15EF0253">
            <w:pPr>
              <w:jc w:val="center"/>
              <w:rPr>
                <w:color w:val="000000"/>
                <w:sz w:val="20"/>
                <w:szCs w:val="20"/>
              </w:rPr>
            </w:pPr>
            <w:r>
              <w:rPr>
                <w:color w:val="000000"/>
                <w:sz w:val="20"/>
                <w:szCs w:val="20"/>
              </w:rPr>
              <w:t>AUC (95%CI)</w:t>
            </w:r>
          </w:p>
        </w:tc>
        <w:tc>
          <w:tcPr>
            <w:tcW w:w="0" w:type="auto"/>
            <w:tcBorders>
              <w:top w:val="nil"/>
              <w:left w:val="nil"/>
              <w:bottom w:val="nil"/>
              <w:right w:val="nil"/>
            </w:tcBorders>
            <w:noWrap/>
            <w:vAlign w:val="center"/>
          </w:tcPr>
          <w:p w14:paraId="0D38D9F6">
            <w:pPr>
              <w:jc w:val="center"/>
              <w:rPr>
                <w:color w:val="000000"/>
                <w:sz w:val="20"/>
                <w:szCs w:val="20"/>
              </w:rPr>
            </w:pPr>
            <w:r>
              <w:rPr>
                <w:color w:val="000000"/>
                <w:sz w:val="20"/>
                <w:szCs w:val="20"/>
              </w:rPr>
              <w:t>0.8</w:t>
            </w:r>
            <w:r>
              <w:rPr>
                <w:rFonts w:hint="eastAsia"/>
                <w:color w:val="000000"/>
                <w:sz w:val="20"/>
                <w:szCs w:val="20"/>
              </w:rPr>
              <w:t>1</w:t>
            </w:r>
            <w:r>
              <w:rPr>
                <w:color w:val="000000"/>
                <w:sz w:val="20"/>
                <w:szCs w:val="20"/>
              </w:rPr>
              <w:t xml:space="preserve"> (0.</w:t>
            </w:r>
            <w:r>
              <w:rPr>
                <w:rFonts w:hint="eastAsia"/>
                <w:color w:val="000000"/>
                <w:sz w:val="20"/>
                <w:szCs w:val="20"/>
              </w:rPr>
              <w:t>76</w:t>
            </w:r>
            <w:r>
              <w:rPr>
                <w:color w:val="000000"/>
                <w:sz w:val="20"/>
                <w:szCs w:val="20"/>
              </w:rPr>
              <w:t xml:space="preserve"> – 0.</w:t>
            </w:r>
            <w:r>
              <w:rPr>
                <w:rFonts w:hint="eastAsia"/>
                <w:color w:val="000000"/>
                <w:sz w:val="20"/>
                <w:szCs w:val="20"/>
              </w:rPr>
              <w:t>86</w:t>
            </w:r>
            <w:r>
              <w:rPr>
                <w:color w:val="000000"/>
                <w:sz w:val="20"/>
                <w:szCs w:val="20"/>
              </w:rPr>
              <w:t>)</w:t>
            </w:r>
          </w:p>
        </w:tc>
        <w:tc>
          <w:tcPr>
            <w:tcW w:w="0" w:type="auto"/>
            <w:tcBorders>
              <w:top w:val="nil"/>
              <w:left w:val="nil"/>
              <w:bottom w:val="nil"/>
              <w:right w:val="nil"/>
            </w:tcBorders>
            <w:noWrap/>
            <w:vAlign w:val="center"/>
          </w:tcPr>
          <w:p w14:paraId="590E617F">
            <w:pPr>
              <w:jc w:val="center"/>
              <w:rPr>
                <w:color w:val="000000"/>
                <w:sz w:val="20"/>
                <w:szCs w:val="20"/>
              </w:rPr>
            </w:pPr>
            <w:r>
              <w:rPr>
                <w:color w:val="000000"/>
                <w:sz w:val="20"/>
                <w:szCs w:val="20"/>
              </w:rPr>
              <w:t>0.</w:t>
            </w:r>
            <w:r>
              <w:rPr>
                <w:rFonts w:hint="eastAsia"/>
                <w:color w:val="000000"/>
                <w:sz w:val="20"/>
                <w:szCs w:val="20"/>
              </w:rPr>
              <w:t>79</w:t>
            </w:r>
            <w:r>
              <w:rPr>
                <w:color w:val="000000"/>
                <w:sz w:val="20"/>
                <w:szCs w:val="20"/>
              </w:rPr>
              <w:t xml:space="preserve"> (0.</w:t>
            </w:r>
            <w:r>
              <w:rPr>
                <w:rFonts w:hint="eastAsia"/>
                <w:color w:val="000000"/>
                <w:sz w:val="20"/>
                <w:szCs w:val="20"/>
              </w:rPr>
              <w:t>74</w:t>
            </w:r>
            <w:r>
              <w:rPr>
                <w:color w:val="000000"/>
                <w:sz w:val="20"/>
                <w:szCs w:val="20"/>
              </w:rPr>
              <w:t xml:space="preserve"> – 0.</w:t>
            </w:r>
            <w:r>
              <w:rPr>
                <w:rFonts w:hint="eastAsia"/>
                <w:color w:val="000000"/>
                <w:sz w:val="20"/>
                <w:szCs w:val="20"/>
              </w:rPr>
              <w:t>84</w:t>
            </w:r>
            <w:r>
              <w:rPr>
                <w:color w:val="000000"/>
                <w:sz w:val="20"/>
                <w:szCs w:val="20"/>
              </w:rPr>
              <w:t>)</w:t>
            </w:r>
          </w:p>
        </w:tc>
        <w:tc>
          <w:tcPr>
            <w:tcW w:w="0" w:type="auto"/>
            <w:tcBorders>
              <w:top w:val="nil"/>
              <w:left w:val="nil"/>
              <w:bottom w:val="nil"/>
              <w:right w:val="nil"/>
            </w:tcBorders>
            <w:noWrap/>
            <w:vAlign w:val="center"/>
          </w:tcPr>
          <w:p w14:paraId="17BF28A5">
            <w:pPr>
              <w:jc w:val="center"/>
              <w:rPr>
                <w:color w:val="000000"/>
                <w:sz w:val="20"/>
                <w:szCs w:val="20"/>
              </w:rPr>
            </w:pPr>
            <w:r>
              <w:rPr>
                <w:color w:val="000000"/>
                <w:sz w:val="20"/>
                <w:szCs w:val="20"/>
              </w:rPr>
              <w:t>0.7</w:t>
            </w:r>
            <w:r>
              <w:rPr>
                <w:rFonts w:hint="eastAsia"/>
                <w:color w:val="000000"/>
                <w:sz w:val="20"/>
                <w:szCs w:val="20"/>
              </w:rPr>
              <w:t>2</w:t>
            </w:r>
            <w:r>
              <w:rPr>
                <w:color w:val="000000"/>
                <w:sz w:val="20"/>
                <w:szCs w:val="20"/>
              </w:rPr>
              <w:t xml:space="preserve"> (0.</w:t>
            </w:r>
            <w:r>
              <w:rPr>
                <w:rFonts w:hint="eastAsia"/>
                <w:color w:val="000000"/>
                <w:sz w:val="20"/>
                <w:szCs w:val="20"/>
              </w:rPr>
              <w:t>67</w:t>
            </w:r>
            <w:r>
              <w:rPr>
                <w:color w:val="000000"/>
                <w:sz w:val="20"/>
                <w:szCs w:val="20"/>
              </w:rPr>
              <w:t xml:space="preserve"> – 0.</w:t>
            </w:r>
            <w:r>
              <w:rPr>
                <w:rFonts w:hint="eastAsia"/>
                <w:color w:val="000000"/>
                <w:sz w:val="20"/>
                <w:szCs w:val="20"/>
              </w:rPr>
              <w:t>77</w:t>
            </w:r>
            <w:r>
              <w:rPr>
                <w:color w:val="000000"/>
                <w:sz w:val="20"/>
                <w:szCs w:val="20"/>
              </w:rPr>
              <w:t>)</w:t>
            </w:r>
          </w:p>
        </w:tc>
      </w:tr>
      <w:tr w14:paraId="1BFF0296">
        <w:trPr>
          <w:trHeight w:val="408" w:hRule="atLeast"/>
        </w:trPr>
        <w:tc>
          <w:tcPr>
            <w:tcW w:w="0" w:type="auto"/>
            <w:tcBorders>
              <w:top w:val="nil"/>
              <w:left w:val="nil"/>
              <w:bottom w:val="nil"/>
              <w:right w:val="nil"/>
            </w:tcBorders>
            <w:noWrap/>
            <w:vAlign w:val="center"/>
          </w:tcPr>
          <w:p w14:paraId="24C3CD0F">
            <w:pPr>
              <w:jc w:val="center"/>
              <w:rPr>
                <w:color w:val="000000"/>
                <w:sz w:val="20"/>
                <w:szCs w:val="20"/>
              </w:rPr>
            </w:pPr>
            <w:r>
              <w:rPr>
                <w:color w:val="000000"/>
                <w:sz w:val="20"/>
                <w:szCs w:val="20"/>
              </w:rPr>
              <w:t>Sensitivity%</w:t>
            </w:r>
            <w:r>
              <w:rPr>
                <w:rFonts w:hint="eastAsia"/>
                <w:color w:val="000000"/>
                <w:sz w:val="20"/>
                <w:szCs w:val="20"/>
              </w:rPr>
              <w:t xml:space="preserve"> </w:t>
            </w:r>
            <w:r>
              <w:rPr>
                <w:color w:val="000000"/>
                <w:sz w:val="20"/>
                <w:szCs w:val="20"/>
              </w:rPr>
              <w:t>(95%CI)</w:t>
            </w:r>
          </w:p>
        </w:tc>
        <w:tc>
          <w:tcPr>
            <w:tcW w:w="0" w:type="auto"/>
            <w:tcBorders>
              <w:top w:val="nil"/>
              <w:left w:val="nil"/>
              <w:bottom w:val="nil"/>
              <w:right w:val="nil"/>
            </w:tcBorders>
            <w:noWrap/>
            <w:vAlign w:val="center"/>
          </w:tcPr>
          <w:p w14:paraId="069E90A5">
            <w:pPr>
              <w:jc w:val="center"/>
              <w:rPr>
                <w:color w:val="000000"/>
                <w:sz w:val="20"/>
                <w:szCs w:val="20"/>
              </w:rPr>
            </w:pPr>
            <w:r>
              <w:rPr>
                <w:rFonts w:hint="eastAsia"/>
                <w:color w:val="000000"/>
                <w:sz w:val="20"/>
                <w:szCs w:val="20"/>
              </w:rPr>
              <w:t>87</w:t>
            </w:r>
            <w:r>
              <w:rPr>
                <w:color w:val="000000"/>
                <w:sz w:val="20"/>
                <w:szCs w:val="20"/>
              </w:rPr>
              <w:t xml:space="preserve"> (</w:t>
            </w:r>
            <w:r>
              <w:rPr>
                <w:rFonts w:hint="eastAsia"/>
                <w:color w:val="000000"/>
                <w:sz w:val="20"/>
                <w:szCs w:val="20"/>
              </w:rPr>
              <w:t>82</w:t>
            </w:r>
            <w:r>
              <w:rPr>
                <w:color w:val="000000"/>
                <w:sz w:val="20"/>
                <w:szCs w:val="20"/>
              </w:rPr>
              <w:t xml:space="preserve"> – </w:t>
            </w:r>
            <w:r>
              <w:rPr>
                <w:rFonts w:hint="eastAsia"/>
                <w:color w:val="000000"/>
                <w:sz w:val="20"/>
                <w:szCs w:val="20"/>
              </w:rPr>
              <w:t>92</w:t>
            </w:r>
            <w:r>
              <w:rPr>
                <w:color w:val="000000"/>
                <w:sz w:val="20"/>
                <w:szCs w:val="20"/>
              </w:rPr>
              <w:t>)</w:t>
            </w:r>
          </w:p>
        </w:tc>
        <w:tc>
          <w:tcPr>
            <w:tcW w:w="0" w:type="auto"/>
            <w:tcBorders>
              <w:top w:val="nil"/>
              <w:left w:val="nil"/>
              <w:bottom w:val="nil"/>
              <w:right w:val="nil"/>
            </w:tcBorders>
            <w:noWrap/>
            <w:vAlign w:val="center"/>
          </w:tcPr>
          <w:p w14:paraId="0C1FB567">
            <w:pPr>
              <w:jc w:val="center"/>
              <w:rPr>
                <w:color w:val="000000"/>
                <w:sz w:val="20"/>
                <w:szCs w:val="20"/>
              </w:rPr>
            </w:pPr>
            <w:r>
              <w:rPr>
                <w:color w:val="000000"/>
                <w:sz w:val="20"/>
                <w:szCs w:val="20"/>
              </w:rPr>
              <w:t>8</w:t>
            </w:r>
            <w:r>
              <w:rPr>
                <w:rFonts w:hint="eastAsia"/>
                <w:color w:val="000000"/>
                <w:sz w:val="20"/>
                <w:szCs w:val="20"/>
              </w:rPr>
              <w:t>6</w:t>
            </w:r>
            <w:r>
              <w:rPr>
                <w:color w:val="000000"/>
                <w:sz w:val="20"/>
                <w:szCs w:val="20"/>
              </w:rPr>
              <w:t xml:space="preserve"> (8</w:t>
            </w:r>
            <w:r>
              <w:rPr>
                <w:rFonts w:hint="eastAsia"/>
                <w:color w:val="000000"/>
                <w:sz w:val="20"/>
                <w:szCs w:val="20"/>
              </w:rPr>
              <w:t>1</w:t>
            </w:r>
            <w:r>
              <w:rPr>
                <w:color w:val="000000"/>
                <w:sz w:val="20"/>
                <w:szCs w:val="20"/>
              </w:rPr>
              <w:t xml:space="preserve"> – 9</w:t>
            </w:r>
            <w:r>
              <w:rPr>
                <w:rFonts w:hint="eastAsia"/>
                <w:color w:val="000000"/>
                <w:sz w:val="20"/>
                <w:szCs w:val="20"/>
              </w:rPr>
              <w:t>1</w:t>
            </w:r>
            <w:r>
              <w:rPr>
                <w:color w:val="000000"/>
                <w:sz w:val="20"/>
                <w:szCs w:val="20"/>
              </w:rPr>
              <w:t>)</w:t>
            </w:r>
          </w:p>
        </w:tc>
        <w:tc>
          <w:tcPr>
            <w:tcW w:w="0" w:type="auto"/>
            <w:tcBorders>
              <w:top w:val="nil"/>
              <w:left w:val="nil"/>
              <w:bottom w:val="nil"/>
              <w:right w:val="nil"/>
            </w:tcBorders>
            <w:noWrap/>
            <w:vAlign w:val="center"/>
          </w:tcPr>
          <w:p w14:paraId="377EF162">
            <w:pPr>
              <w:jc w:val="center"/>
              <w:rPr>
                <w:color w:val="000000"/>
                <w:sz w:val="20"/>
                <w:szCs w:val="20"/>
              </w:rPr>
            </w:pPr>
            <w:r>
              <w:rPr>
                <w:color w:val="000000"/>
                <w:sz w:val="20"/>
                <w:szCs w:val="20"/>
              </w:rPr>
              <w:t>7</w:t>
            </w:r>
            <w:r>
              <w:rPr>
                <w:rFonts w:hint="eastAsia"/>
                <w:color w:val="000000"/>
                <w:sz w:val="20"/>
                <w:szCs w:val="20"/>
              </w:rPr>
              <w:t>6</w:t>
            </w:r>
            <w:r>
              <w:rPr>
                <w:color w:val="000000"/>
                <w:sz w:val="20"/>
                <w:szCs w:val="20"/>
              </w:rPr>
              <w:t xml:space="preserve"> (7</w:t>
            </w:r>
            <w:r>
              <w:rPr>
                <w:rFonts w:hint="eastAsia"/>
                <w:color w:val="000000"/>
                <w:sz w:val="20"/>
                <w:szCs w:val="20"/>
              </w:rPr>
              <w:t>1</w:t>
            </w:r>
            <w:r>
              <w:rPr>
                <w:color w:val="000000"/>
                <w:sz w:val="20"/>
                <w:szCs w:val="20"/>
              </w:rPr>
              <w:t xml:space="preserve"> – 8</w:t>
            </w:r>
            <w:r>
              <w:rPr>
                <w:rFonts w:hint="eastAsia"/>
                <w:color w:val="000000"/>
                <w:sz w:val="20"/>
                <w:szCs w:val="20"/>
              </w:rPr>
              <w:t>1</w:t>
            </w:r>
            <w:r>
              <w:rPr>
                <w:color w:val="000000"/>
                <w:sz w:val="20"/>
                <w:szCs w:val="20"/>
              </w:rPr>
              <w:t>)</w:t>
            </w:r>
          </w:p>
        </w:tc>
      </w:tr>
      <w:tr w14:paraId="1CF45549">
        <w:trPr>
          <w:trHeight w:val="408" w:hRule="atLeast"/>
        </w:trPr>
        <w:tc>
          <w:tcPr>
            <w:tcW w:w="0" w:type="auto"/>
            <w:tcBorders>
              <w:top w:val="nil"/>
              <w:left w:val="nil"/>
              <w:bottom w:val="nil"/>
              <w:right w:val="nil"/>
            </w:tcBorders>
            <w:noWrap/>
            <w:vAlign w:val="center"/>
          </w:tcPr>
          <w:p w14:paraId="211300FF">
            <w:pPr>
              <w:jc w:val="center"/>
              <w:rPr>
                <w:color w:val="000000"/>
                <w:sz w:val="20"/>
                <w:szCs w:val="20"/>
              </w:rPr>
            </w:pPr>
            <w:r>
              <w:rPr>
                <w:color w:val="000000"/>
                <w:sz w:val="20"/>
                <w:szCs w:val="20"/>
              </w:rPr>
              <w:t>Specificity%</w:t>
            </w:r>
            <w:r>
              <w:rPr>
                <w:rFonts w:hint="eastAsia"/>
                <w:color w:val="000000"/>
                <w:sz w:val="20"/>
                <w:szCs w:val="20"/>
              </w:rPr>
              <w:t xml:space="preserve"> </w:t>
            </w:r>
            <w:r>
              <w:rPr>
                <w:color w:val="000000"/>
                <w:sz w:val="20"/>
                <w:szCs w:val="20"/>
              </w:rPr>
              <w:t>(95%CI)</w:t>
            </w:r>
          </w:p>
        </w:tc>
        <w:tc>
          <w:tcPr>
            <w:tcW w:w="0" w:type="auto"/>
            <w:tcBorders>
              <w:top w:val="nil"/>
              <w:left w:val="nil"/>
              <w:bottom w:val="nil"/>
              <w:right w:val="nil"/>
            </w:tcBorders>
            <w:noWrap/>
            <w:vAlign w:val="center"/>
          </w:tcPr>
          <w:p w14:paraId="7119FB91">
            <w:pPr>
              <w:jc w:val="center"/>
              <w:rPr>
                <w:color w:val="000000"/>
                <w:sz w:val="20"/>
                <w:szCs w:val="20"/>
              </w:rPr>
            </w:pPr>
            <w:r>
              <w:rPr>
                <w:rFonts w:hint="eastAsia"/>
                <w:color w:val="000000"/>
                <w:sz w:val="20"/>
                <w:szCs w:val="20"/>
              </w:rPr>
              <w:t>79</w:t>
            </w:r>
            <w:r>
              <w:rPr>
                <w:color w:val="000000"/>
                <w:sz w:val="20"/>
                <w:szCs w:val="20"/>
              </w:rPr>
              <w:t xml:space="preserve"> (7</w:t>
            </w:r>
            <w:r>
              <w:rPr>
                <w:rFonts w:hint="eastAsia"/>
                <w:color w:val="000000"/>
                <w:sz w:val="20"/>
                <w:szCs w:val="20"/>
              </w:rPr>
              <w:t>4</w:t>
            </w:r>
            <w:r>
              <w:rPr>
                <w:color w:val="000000"/>
                <w:sz w:val="20"/>
                <w:szCs w:val="20"/>
              </w:rPr>
              <w:t xml:space="preserve"> – 8</w:t>
            </w:r>
            <w:r>
              <w:rPr>
                <w:rFonts w:hint="eastAsia"/>
                <w:color w:val="000000"/>
                <w:sz w:val="20"/>
                <w:szCs w:val="20"/>
              </w:rPr>
              <w:t>4</w:t>
            </w:r>
            <w:r>
              <w:rPr>
                <w:color w:val="000000"/>
                <w:sz w:val="20"/>
                <w:szCs w:val="20"/>
              </w:rPr>
              <w:t>)</w:t>
            </w:r>
          </w:p>
        </w:tc>
        <w:tc>
          <w:tcPr>
            <w:tcW w:w="0" w:type="auto"/>
            <w:tcBorders>
              <w:top w:val="nil"/>
              <w:left w:val="nil"/>
              <w:bottom w:val="nil"/>
              <w:right w:val="nil"/>
            </w:tcBorders>
            <w:noWrap/>
            <w:vAlign w:val="center"/>
          </w:tcPr>
          <w:p w14:paraId="0CD4EE14">
            <w:pPr>
              <w:jc w:val="center"/>
              <w:rPr>
                <w:color w:val="000000"/>
                <w:sz w:val="20"/>
                <w:szCs w:val="20"/>
              </w:rPr>
            </w:pPr>
            <w:r>
              <w:rPr>
                <w:rFonts w:hint="eastAsia"/>
                <w:color w:val="000000"/>
                <w:sz w:val="20"/>
                <w:szCs w:val="20"/>
              </w:rPr>
              <w:t>77</w:t>
            </w:r>
            <w:r>
              <w:rPr>
                <w:color w:val="000000"/>
                <w:sz w:val="20"/>
                <w:szCs w:val="20"/>
              </w:rPr>
              <w:t xml:space="preserve"> (7</w:t>
            </w:r>
            <w:r>
              <w:rPr>
                <w:rFonts w:hint="eastAsia"/>
                <w:color w:val="000000"/>
                <w:sz w:val="20"/>
                <w:szCs w:val="20"/>
              </w:rPr>
              <w:t>2</w:t>
            </w:r>
            <w:r>
              <w:rPr>
                <w:color w:val="000000"/>
                <w:sz w:val="20"/>
                <w:szCs w:val="20"/>
              </w:rPr>
              <w:t xml:space="preserve"> – 8</w:t>
            </w:r>
            <w:r>
              <w:rPr>
                <w:rFonts w:hint="eastAsia"/>
                <w:color w:val="000000"/>
                <w:sz w:val="20"/>
                <w:szCs w:val="20"/>
              </w:rPr>
              <w:t>2</w:t>
            </w:r>
            <w:r>
              <w:rPr>
                <w:color w:val="000000"/>
                <w:sz w:val="20"/>
                <w:szCs w:val="20"/>
              </w:rPr>
              <w:t>)</w:t>
            </w:r>
          </w:p>
        </w:tc>
        <w:tc>
          <w:tcPr>
            <w:tcW w:w="0" w:type="auto"/>
            <w:tcBorders>
              <w:top w:val="nil"/>
              <w:left w:val="nil"/>
              <w:bottom w:val="nil"/>
              <w:right w:val="nil"/>
            </w:tcBorders>
            <w:noWrap/>
            <w:vAlign w:val="center"/>
          </w:tcPr>
          <w:p w14:paraId="5FBE273E">
            <w:pPr>
              <w:jc w:val="center"/>
              <w:rPr>
                <w:color w:val="000000"/>
                <w:sz w:val="20"/>
                <w:szCs w:val="20"/>
              </w:rPr>
            </w:pPr>
            <w:r>
              <w:rPr>
                <w:rFonts w:hint="eastAsia"/>
                <w:color w:val="000000"/>
                <w:sz w:val="20"/>
                <w:szCs w:val="20"/>
              </w:rPr>
              <w:t>75</w:t>
            </w:r>
            <w:r>
              <w:rPr>
                <w:color w:val="000000"/>
                <w:sz w:val="20"/>
                <w:szCs w:val="20"/>
              </w:rPr>
              <w:t xml:space="preserve"> (7</w:t>
            </w:r>
            <w:r>
              <w:rPr>
                <w:rFonts w:hint="eastAsia"/>
                <w:color w:val="000000"/>
                <w:sz w:val="20"/>
                <w:szCs w:val="20"/>
              </w:rPr>
              <w:t>0</w:t>
            </w:r>
            <w:r>
              <w:rPr>
                <w:color w:val="000000"/>
                <w:sz w:val="20"/>
                <w:szCs w:val="20"/>
              </w:rPr>
              <w:t xml:space="preserve"> – 8</w:t>
            </w:r>
            <w:r>
              <w:rPr>
                <w:rFonts w:hint="eastAsia"/>
                <w:color w:val="000000"/>
                <w:sz w:val="20"/>
                <w:szCs w:val="20"/>
              </w:rPr>
              <w:t>0</w:t>
            </w:r>
            <w:r>
              <w:rPr>
                <w:color w:val="000000"/>
                <w:sz w:val="20"/>
                <w:szCs w:val="20"/>
              </w:rPr>
              <w:t>)</w:t>
            </w:r>
          </w:p>
        </w:tc>
      </w:tr>
      <w:tr w14:paraId="7B993F94">
        <w:trPr>
          <w:trHeight w:val="408" w:hRule="atLeast"/>
        </w:trPr>
        <w:tc>
          <w:tcPr>
            <w:tcW w:w="0" w:type="auto"/>
            <w:tcBorders>
              <w:top w:val="nil"/>
              <w:left w:val="nil"/>
              <w:bottom w:val="nil"/>
              <w:right w:val="nil"/>
            </w:tcBorders>
            <w:noWrap/>
            <w:vAlign w:val="center"/>
          </w:tcPr>
          <w:p w14:paraId="64788A3D">
            <w:pPr>
              <w:jc w:val="center"/>
              <w:rPr>
                <w:color w:val="000000"/>
                <w:sz w:val="20"/>
                <w:szCs w:val="20"/>
              </w:rPr>
            </w:pPr>
            <w:r>
              <w:rPr>
                <w:color w:val="000000"/>
                <w:sz w:val="20"/>
                <w:szCs w:val="20"/>
              </w:rPr>
              <w:t>PPV% (95%CI)</w:t>
            </w:r>
          </w:p>
        </w:tc>
        <w:tc>
          <w:tcPr>
            <w:tcW w:w="0" w:type="auto"/>
            <w:tcBorders>
              <w:top w:val="nil"/>
              <w:left w:val="nil"/>
              <w:bottom w:val="nil"/>
              <w:right w:val="nil"/>
            </w:tcBorders>
            <w:noWrap/>
            <w:vAlign w:val="center"/>
          </w:tcPr>
          <w:p w14:paraId="7F5C3341">
            <w:pPr>
              <w:jc w:val="center"/>
              <w:rPr>
                <w:color w:val="000000"/>
                <w:sz w:val="20"/>
                <w:szCs w:val="20"/>
              </w:rPr>
            </w:pPr>
            <w:r>
              <w:rPr>
                <w:color w:val="000000"/>
                <w:sz w:val="20"/>
                <w:szCs w:val="20"/>
              </w:rPr>
              <w:t>73 (68 – 78)</w:t>
            </w:r>
          </w:p>
        </w:tc>
        <w:tc>
          <w:tcPr>
            <w:tcW w:w="0" w:type="auto"/>
            <w:tcBorders>
              <w:top w:val="nil"/>
              <w:left w:val="nil"/>
              <w:bottom w:val="nil"/>
              <w:right w:val="nil"/>
            </w:tcBorders>
            <w:noWrap/>
            <w:vAlign w:val="center"/>
          </w:tcPr>
          <w:p w14:paraId="0F273070">
            <w:pPr>
              <w:jc w:val="center"/>
              <w:rPr>
                <w:color w:val="000000"/>
                <w:sz w:val="20"/>
                <w:szCs w:val="20"/>
              </w:rPr>
            </w:pPr>
            <w:r>
              <w:rPr>
                <w:color w:val="000000"/>
                <w:sz w:val="20"/>
                <w:szCs w:val="20"/>
              </w:rPr>
              <w:t>7</w:t>
            </w:r>
            <w:r>
              <w:rPr>
                <w:rFonts w:hint="eastAsia"/>
                <w:color w:val="000000"/>
                <w:sz w:val="20"/>
                <w:szCs w:val="20"/>
              </w:rPr>
              <w:t>6</w:t>
            </w:r>
            <w:r>
              <w:rPr>
                <w:color w:val="000000"/>
                <w:sz w:val="20"/>
                <w:szCs w:val="20"/>
              </w:rPr>
              <w:t xml:space="preserve"> (7</w:t>
            </w:r>
            <w:r>
              <w:rPr>
                <w:rFonts w:hint="eastAsia"/>
                <w:color w:val="000000"/>
                <w:sz w:val="20"/>
                <w:szCs w:val="20"/>
              </w:rPr>
              <w:t>1</w:t>
            </w:r>
            <w:r>
              <w:rPr>
                <w:color w:val="000000"/>
                <w:sz w:val="20"/>
                <w:szCs w:val="20"/>
              </w:rPr>
              <w:t xml:space="preserve"> – 8</w:t>
            </w:r>
            <w:r>
              <w:rPr>
                <w:rFonts w:hint="eastAsia"/>
                <w:color w:val="000000"/>
                <w:sz w:val="20"/>
                <w:szCs w:val="20"/>
              </w:rPr>
              <w:t>1</w:t>
            </w:r>
            <w:r>
              <w:rPr>
                <w:color w:val="000000"/>
                <w:sz w:val="20"/>
                <w:szCs w:val="20"/>
              </w:rPr>
              <w:t>)</w:t>
            </w:r>
          </w:p>
        </w:tc>
        <w:tc>
          <w:tcPr>
            <w:tcW w:w="0" w:type="auto"/>
            <w:tcBorders>
              <w:top w:val="nil"/>
              <w:left w:val="nil"/>
              <w:bottom w:val="nil"/>
              <w:right w:val="nil"/>
            </w:tcBorders>
            <w:noWrap/>
            <w:vAlign w:val="center"/>
          </w:tcPr>
          <w:p w14:paraId="6D79FAD9">
            <w:pPr>
              <w:jc w:val="center"/>
              <w:rPr>
                <w:color w:val="000000"/>
                <w:sz w:val="20"/>
                <w:szCs w:val="20"/>
              </w:rPr>
            </w:pPr>
            <w:r>
              <w:rPr>
                <w:color w:val="000000"/>
                <w:sz w:val="20"/>
                <w:szCs w:val="20"/>
              </w:rPr>
              <w:t>7</w:t>
            </w:r>
            <w:r>
              <w:rPr>
                <w:rFonts w:hint="eastAsia"/>
                <w:color w:val="000000"/>
                <w:sz w:val="20"/>
                <w:szCs w:val="20"/>
              </w:rPr>
              <w:t>0</w:t>
            </w:r>
            <w:r>
              <w:rPr>
                <w:color w:val="000000"/>
                <w:sz w:val="20"/>
                <w:szCs w:val="20"/>
              </w:rPr>
              <w:t xml:space="preserve"> (</w:t>
            </w:r>
            <w:r>
              <w:rPr>
                <w:rFonts w:hint="eastAsia"/>
                <w:color w:val="000000"/>
                <w:sz w:val="20"/>
                <w:szCs w:val="20"/>
              </w:rPr>
              <w:t>65</w:t>
            </w:r>
            <w:r>
              <w:rPr>
                <w:color w:val="000000"/>
                <w:sz w:val="20"/>
                <w:szCs w:val="20"/>
              </w:rPr>
              <w:t xml:space="preserve"> – </w:t>
            </w:r>
            <w:r>
              <w:rPr>
                <w:rFonts w:hint="eastAsia"/>
                <w:color w:val="000000"/>
                <w:sz w:val="20"/>
                <w:szCs w:val="20"/>
              </w:rPr>
              <w:t>7</w:t>
            </w:r>
            <w:r>
              <w:rPr>
                <w:color w:val="000000"/>
                <w:sz w:val="20"/>
                <w:szCs w:val="20"/>
              </w:rPr>
              <w:t>5)</w:t>
            </w:r>
          </w:p>
        </w:tc>
      </w:tr>
      <w:tr w14:paraId="62E0558F">
        <w:trPr>
          <w:trHeight w:val="408" w:hRule="atLeast"/>
        </w:trPr>
        <w:tc>
          <w:tcPr>
            <w:tcW w:w="0" w:type="auto"/>
            <w:tcBorders>
              <w:top w:val="nil"/>
              <w:left w:val="nil"/>
              <w:bottom w:val="single" w:color="000000" w:sz="4" w:space="0"/>
              <w:right w:val="nil"/>
            </w:tcBorders>
            <w:noWrap/>
            <w:vAlign w:val="center"/>
          </w:tcPr>
          <w:p w14:paraId="41290E92">
            <w:pPr>
              <w:jc w:val="center"/>
              <w:rPr>
                <w:color w:val="000000"/>
                <w:sz w:val="20"/>
                <w:szCs w:val="20"/>
              </w:rPr>
            </w:pPr>
            <w:r>
              <w:rPr>
                <w:color w:val="000000"/>
                <w:sz w:val="20"/>
                <w:szCs w:val="20"/>
              </w:rPr>
              <w:t>NPV% (95%CI)</w:t>
            </w:r>
          </w:p>
        </w:tc>
        <w:tc>
          <w:tcPr>
            <w:tcW w:w="0" w:type="auto"/>
            <w:tcBorders>
              <w:top w:val="nil"/>
              <w:left w:val="nil"/>
              <w:bottom w:val="single" w:color="000000" w:sz="4" w:space="0"/>
              <w:right w:val="nil"/>
            </w:tcBorders>
            <w:noWrap/>
            <w:vAlign w:val="center"/>
          </w:tcPr>
          <w:p w14:paraId="5F20CFFA">
            <w:pPr>
              <w:jc w:val="center"/>
              <w:rPr>
                <w:color w:val="000000"/>
                <w:sz w:val="20"/>
                <w:szCs w:val="20"/>
              </w:rPr>
            </w:pPr>
            <w:r>
              <w:rPr>
                <w:rFonts w:hint="eastAsia"/>
                <w:color w:val="000000"/>
                <w:sz w:val="20"/>
                <w:szCs w:val="20"/>
              </w:rPr>
              <w:t>89</w:t>
            </w:r>
            <w:r>
              <w:rPr>
                <w:color w:val="000000"/>
                <w:sz w:val="20"/>
                <w:szCs w:val="20"/>
              </w:rPr>
              <w:t xml:space="preserve"> (</w:t>
            </w:r>
            <w:r>
              <w:rPr>
                <w:rFonts w:hint="eastAsia"/>
                <w:color w:val="000000"/>
                <w:sz w:val="20"/>
                <w:szCs w:val="20"/>
              </w:rPr>
              <w:t>84</w:t>
            </w:r>
            <w:r>
              <w:rPr>
                <w:color w:val="000000"/>
                <w:sz w:val="20"/>
                <w:szCs w:val="20"/>
              </w:rPr>
              <w:t xml:space="preserve"> –94)</w:t>
            </w:r>
          </w:p>
        </w:tc>
        <w:tc>
          <w:tcPr>
            <w:tcW w:w="0" w:type="auto"/>
            <w:tcBorders>
              <w:top w:val="nil"/>
              <w:left w:val="nil"/>
              <w:bottom w:val="single" w:color="000000" w:sz="4" w:space="0"/>
              <w:right w:val="nil"/>
            </w:tcBorders>
            <w:noWrap/>
            <w:vAlign w:val="center"/>
          </w:tcPr>
          <w:p w14:paraId="08D79AF7">
            <w:pPr>
              <w:jc w:val="center"/>
              <w:rPr>
                <w:color w:val="000000"/>
                <w:sz w:val="20"/>
                <w:szCs w:val="20"/>
              </w:rPr>
            </w:pPr>
            <w:r>
              <w:rPr>
                <w:rFonts w:hint="eastAsia"/>
                <w:color w:val="000000"/>
                <w:sz w:val="20"/>
                <w:szCs w:val="20"/>
              </w:rPr>
              <w:t>83</w:t>
            </w:r>
            <w:r>
              <w:rPr>
                <w:color w:val="000000"/>
                <w:sz w:val="20"/>
                <w:szCs w:val="20"/>
              </w:rPr>
              <w:t xml:space="preserve"> (7</w:t>
            </w:r>
            <w:r>
              <w:rPr>
                <w:rFonts w:hint="eastAsia"/>
                <w:color w:val="000000"/>
                <w:sz w:val="20"/>
                <w:szCs w:val="20"/>
              </w:rPr>
              <w:t>8</w:t>
            </w:r>
            <w:r>
              <w:rPr>
                <w:color w:val="000000"/>
                <w:sz w:val="20"/>
                <w:szCs w:val="20"/>
              </w:rPr>
              <w:t xml:space="preserve"> – 8</w:t>
            </w:r>
            <w:r>
              <w:rPr>
                <w:rFonts w:hint="eastAsia"/>
                <w:color w:val="000000"/>
                <w:sz w:val="20"/>
                <w:szCs w:val="20"/>
              </w:rPr>
              <w:t>8</w:t>
            </w:r>
            <w:r>
              <w:rPr>
                <w:color w:val="000000"/>
                <w:sz w:val="20"/>
                <w:szCs w:val="20"/>
              </w:rPr>
              <w:t>)</w:t>
            </w:r>
          </w:p>
        </w:tc>
        <w:tc>
          <w:tcPr>
            <w:tcW w:w="0" w:type="auto"/>
            <w:tcBorders>
              <w:top w:val="nil"/>
              <w:left w:val="nil"/>
              <w:bottom w:val="single" w:color="000000" w:sz="4" w:space="0"/>
              <w:right w:val="nil"/>
            </w:tcBorders>
            <w:noWrap/>
            <w:vAlign w:val="center"/>
          </w:tcPr>
          <w:p w14:paraId="5260B3D8">
            <w:pPr>
              <w:jc w:val="center"/>
              <w:rPr>
                <w:color w:val="000000"/>
                <w:sz w:val="20"/>
                <w:szCs w:val="20"/>
              </w:rPr>
            </w:pPr>
            <w:r>
              <w:rPr>
                <w:rFonts w:hint="eastAsia"/>
                <w:color w:val="000000"/>
                <w:sz w:val="20"/>
                <w:szCs w:val="20"/>
              </w:rPr>
              <w:t>71</w:t>
            </w:r>
            <w:r>
              <w:rPr>
                <w:color w:val="000000"/>
                <w:sz w:val="20"/>
                <w:szCs w:val="20"/>
              </w:rPr>
              <w:t xml:space="preserve"> (</w:t>
            </w:r>
            <w:r>
              <w:rPr>
                <w:rFonts w:hint="eastAsia"/>
                <w:color w:val="000000"/>
                <w:sz w:val="20"/>
                <w:szCs w:val="20"/>
              </w:rPr>
              <w:t>66</w:t>
            </w:r>
            <w:r>
              <w:rPr>
                <w:color w:val="000000"/>
                <w:sz w:val="20"/>
                <w:szCs w:val="20"/>
              </w:rPr>
              <w:t xml:space="preserve"> – </w:t>
            </w:r>
            <w:r>
              <w:rPr>
                <w:rFonts w:hint="eastAsia"/>
                <w:color w:val="000000"/>
                <w:sz w:val="20"/>
                <w:szCs w:val="20"/>
              </w:rPr>
              <w:t>76</w:t>
            </w:r>
            <w:r>
              <w:rPr>
                <w:color w:val="000000"/>
                <w:sz w:val="20"/>
                <w:szCs w:val="20"/>
              </w:rPr>
              <w:t>)</w:t>
            </w:r>
          </w:p>
        </w:tc>
      </w:tr>
    </w:tbl>
    <w:p w14:paraId="533F44F6">
      <w:pPr>
        <w:rPr>
          <w:rStyle w:val="34"/>
          <w:b w:val="0"/>
          <w:bCs/>
          <w:color w:val="404040"/>
          <w:sz w:val="20"/>
          <w:szCs w:val="20"/>
        </w:rPr>
      </w:pPr>
      <w:r>
        <w:rPr>
          <w:rStyle w:val="34"/>
          <w:b w:val="0"/>
          <w:bCs/>
          <w:color w:val="404040"/>
          <w:sz w:val="20"/>
          <w:szCs w:val="20"/>
        </w:rPr>
        <w:t>PPV, Positive Predictive Value; NPV, Negative Predictive Value</w:t>
      </w:r>
    </w:p>
    <w:p w14:paraId="1A608C80">
      <w:pPr>
        <w:widowControl/>
        <w:jc w:val="left"/>
        <w:rPr>
          <w:rFonts w:asciiTheme="majorHAnsi" w:hAnsiTheme="majorHAnsi" w:eastAsiaTheme="majorEastAsia" w:cstheme="majorBidi"/>
          <w:color w:val="104862" w:themeColor="accent1" w:themeShade="BF"/>
          <w:sz w:val="32"/>
          <w:szCs w:val="32"/>
          <w14:ligatures w14:val="standardContextual"/>
        </w:rPr>
      </w:pPr>
      <w:r>
        <w:br w:type="page"/>
      </w:r>
    </w:p>
    <w:p w14:paraId="164C8896">
      <w:pPr>
        <w:rPr>
          <w:b/>
          <w:color w:val="404040"/>
        </w:rPr>
      </w:pPr>
      <w:r>
        <w:rPr>
          <w:rStyle w:val="34"/>
          <w:color w:val="404040"/>
          <w:sz w:val="20"/>
          <w:szCs w:val="20"/>
        </w:rPr>
        <w:t xml:space="preserve">Supplementary Table </w:t>
      </w:r>
      <w:r>
        <w:rPr>
          <w:rStyle w:val="34"/>
          <w:rFonts w:hint="eastAsia"/>
          <w:color w:val="404040"/>
          <w:sz w:val="20"/>
          <w:szCs w:val="20"/>
          <w:lang w:val="en-US" w:eastAsia="zh-CN"/>
        </w:rPr>
        <w:t>6</w:t>
      </w:r>
      <w:r>
        <w:rPr>
          <w:rStyle w:val="34"/>
          <w:color w:val="404040"/>
          <w:sz w:val="20"/>
          <w:szCs w:val="20"/>
        </w:rPr>
        <w:t xml:space="preserve">: The diagnostic performance of thymic volume and surface area in distinguishing between </w:t>
      </w:r>
      <w:r>
        <w:rPr>
          <w:rStyle w:val="34"/>
          <w:rFonts w:hint="eastAsia"/>
          <w:color w:val="404040"/>
          <w:sz w:val="20"/>
          <w:szCs w:val="20"/>
        </w:rPr>
        <w:t>LO</w:t>
      </w:r>
      <w:r>
        <w:rPr>
          <w:rStyle w:val="34"/>
          <w:color w:val="404040"/>
          <w:sz w:val="20"/>
          <w:szCs w:val="20"/>
        </w:rPr>
        <w:t>MG and control thymus</w:t>
      </w:r>
      <w:r>
        <w:rPr>
          <w:rStyle w:val="34"/>
          <w:rFonts w:hint="eastAsia"/>
          <w:color w:val="404040"/>
          <w:sz w:val="20"/>
          <w:szCs w:val="20"/>
        </w:rPr>
        <w:t>.</w:t>
      </w:r>
    </w:p>
    <w:tbl>
      <w:tblPr>
        <w:tblStyle w:val="13"/>
        <w:tblW w:w="0" w:type="auto"/>
        <w:tblInd w:w="0" w:type="dxa"/>
        <w:tblLayout w:type="autofit"/>
        <w:tblCellMar>
          <w:top w:w="0" w:type="dxa"/>
          <w:left w:w="108" w:type="dxa"/>
          <w:bottom w:w="0" w:type="dxa"/>
          <w:right w:w="108" w:type="dxa"/>
        </w:tblCellMar>
      </w:tblPr>
      <w:tblGrid>
        <w:gridCol w:w="1999"/>
        <w:gridCol w:w="1650"/>
        <w:gridCol w:w="1650"/>
        <w:gridCol w:w="1650"/>
      </w:tblGrid>
      <w:tr w14:paraId="39E65D8A">
        <w:trPr>
          <w:trHeight w:val="408" w:hRule="atLeast"/>
        </w:trPr>
        <w:tc>
          <w:tcPr>
            <w:tcW w:w="0" w:type="auto"/>
            <w:tcBorders>
              <w:top w:val="single" w:color="000000" w:sz="4" w:space="0"/>
              <w:left w:val="nil"/>
              <w:bottom w:val="single" w:color="000000" w:sz="4" w:space="0"/>
              <w:right w:val="nil"/>
            </w:tcBorders>
            <w:noWrap/>
            <w:vAlign w:val="center"/>
          </w:tcPr>
          <w:p w14:paraId="1120960C">
            <w:pPr>
              <w:rPr>
                <w:rFonts w:eastAsia="Times New Roman"/>
                <w:sz w:val="20"/>
                <w:szCs w:val="20"/>
              </w:rPr>
            </w:pPr>
          </w:p>
        </w:tc>
        <w:tc>
          <w:tcPr>
            <w:tcW w:w="0" w:type="auto"/>
            <w:tcBorders>
              <w:top w:val="single" w:color="000000" w:sz="4" w:space="0"/>
              <w:left w:val="nil"/>
              <w:bottom w:val="single" w:color="000000" w:sz="4" w:space="0"/>
              <w:right w:val="nil"/>
            </w:tcBorders>
            <w:noWrap/>
            <w:vAlign w:val="center"/>
          </w:tcPr>
          <w:p w14:paraId="2A28FCA3">
            <w:pPr>
              <w:jc w:val="center"/>
              <w:rPr>
                <w:color w:val="000000"/>
                <w:sz w:val="20"/>
                <w:szCs w:val="20"/>
              </w:rPr>
            </w:pPr>
            <w:r>
              <w:rPr>
                <w:color w:val="000000"/>
                <w:sz w:val="20"/>
                <w:szCs w:val="20"/>
              </w:rPr>
              <w:t>Volume</w:t>
            </w:r>
          </w:p>
        </w:tc>
        <w:tc>
          <w:tcPr>
            <w:tcW w:w="0" w:type="auto"/>
            <w:tcBorders>
              <w:top w:val="single" w:color="000000" w:sz="4" w:space="0"/>
              <w:left w:val="nil"/>
              <w:bottom w:val="single" w:color="000000" w:sz="4" w:space="0"/>
              <w:right w:val="nil"/>
            </w:tcBorders>
            <w:noWrap/>
            <w:vAlign w:val="center"/>
          </w:tcPr>
          <w:p w14:paraId="0170CE7D">
            <w:pPr>
              <w:jc w:val="center"/>
              <w:rPr>
                <w:color w:val="000000"/>
                <w:sz w:val="20"/>
                <w:szCs w:val="20"/>
              </w:rPr>
            </w:pPr>
            <w:r>
              <w:rPr>
                <w:color w:val="000000"/>
                <w:sz w:val="20"/>
                <w:szCs w:val="20"/>
              </w:rPr>
              <w:t>SA</w:t>
            </w:r>
          </w:p>
        </w:tc>
        <w:tc>
          <w:tcPr>
            <w:tcW w:w="0" w:type="auto"/>
            <w:tcBorders>
              <w:top w:val="single" w:color="000000" w:sz="4" w:space="0"/>
              <w:left w:val="nil"/>
              <w:bottom w:val="single" w:color="000000" w:sz="4" w:space="0"/>
              <w:right w:val="nil"/>
            </w:tcBorders>
            <w:noWrap/>
            <w:vAlign w:val="center"/>
          </w:tcPr>
          <w:p w14:paraId="5FAE39A5">
            <w:pPr>
              <w:jc w:val="center"/>
              <w:rPr>
                <w:color w:val="000000"/>
                <w:sz w:val="20"/>
                <w:szCs w:val="20"/>
              </w:rPr>
            </w:pPr>
            <w:r>
              <w:rPr>
                <w:color w:val="000000"/>
                <w:sz w:val="20"/>
                <w:szCs w:val="20"/>
              </w:rPr>
              <w:t>SSA</w:t>
            </w:r>
          </w:p>
        </w:tc>
      </w:tr>
      <w:tr w14:paraId="21B752B4">
        <w:trPr>
          <w:trHeight w:val="408" w:hRule="atLeast"/>
        </w:trPr>
        <w:tc>
          <w:tcPr>
            <w:tcW w:w="0" w:type="auto"/>
            <w:tcBorders>
              <w:top w:val="nil"/>
              <w:left w:val="nil"/>
              <w:bottom w:val="nil"/>
              <w:right w:val="nil"/>
            </w:tcBorders>
            <w:noWrap/>
            <w:vAlign w:val="center"/>
          </w:tcPr>
          <w:p w14:paraId="559F39F8">
            <w:pPr>
              <w:jc w:val="center"/>
              <w:rPr>
                <w:color w:val="000000"/>
                <w:sz w:val="20"/>
                <w:szCs w:val="20"/>
              </w:rPr>
            </w:pPr>
            <w:r>
              <w:rPr>
                <w:color w:val="000000"/>
                <w:sz w:val="20"/>
                <w:szCs w:val="20"/>
              </w:rPr>
              <w:t>Cut–off value</w:t>
            </w:r>
          </w:p>
        </w:tc>
        <w:tc>
          <w:tcPr>
            <w:tcW w:w="0" w:type="auto"/>
            <w:tcBorders>
              <w:top w:val="nil"/>
              <w:left w:val="nil"/>
              <w:bottom w:val="nil"/>
              <w:right w:val="nil"/>
            </w:tcBorders>
            <w:noWrap/>
            <w:vAlign w:val="center"/>
          </w:tcPr>
          <w:p w14:paraId="587FB9D5">
            <w:pPr>
              <w:jc w:val="center"/>
              <w:rPr>
                <w:color w:val="000000"/>
                <w:sz w:val="20"/>
                <w:szCs w:val="20"/>
              </w:rPr>
            </w:pPr>
            <w:r>
              <w:rPr>
                <w:color w:val="000000"/>
                <w:sz w:val="20"/>
                <w:szCs w:val="20"/>
              </w:rPr>
              <w:t>&gt;58000mm</w:t>
            </w:r>
            <w:r>
              <w:rPr>
                <w:color w:val="000000"/>
                <w:sz w:val="20"/>
                <w:szCs w:val="20"/>
                <w:vertAlign w:val="superscript"/>
              </w:rPr>
              <w:t>3</w:t>
            </w:r>
          </w:p>
        </w:tc>
        <w:tc>
          <w:tcPr>
            <w:tcW w:w="0" w:type="auto"/>
            <w:tcBorders>
              <w:top w:val="nil"/>
              <w:left w:val="nil"/>
              <w:bottom w:val="nil"/>
              <w:right w:val="nil"/>
            </w:tcBorders>
            <w:noWrap/>
            <w:vAlign w:val="center"/>
          </w:tcPr>
          <w:p w14:paraId="3708F8F2">
            <w:pPr>
              <w:jc w:val="center"/>
              <w:rPr>
                <w:color w:val="000000"/>
                <w:sz w:val="20"/>
                <w:szCs w:val="20"/>
              </w:rPr>
            </w:pPr>
            <w:r>
              <w:rPr>
                <w:color w:val="000000"/>
                <w:sz w:val="20"/>
                <w:szCs w:val="20"/>
              </w:rPr>
              <w:t>&gt;14000mm</w:t>
            </w:r>
            <w:r>
              <w:rPr>
                <w:color w:val="000000"/>
                <w:sz w:val="20"/>
                <w:szCs w:val="20"/>
                <w:vertAlign w:val="superscript"/>
              </w:rPr>
              <w:t>2</w:t>
            </w:r>
          </w:p>
        </w:tc>
        <w:tc>
          <w:tcPr>
            <w:tcW w:w="0" w:type="auto"/>
            <w:tcBorders>
              <w:top w:val="nil"/>
              <w:left w:val="nil"/>
              <w:bottom w:val="nil"/>
              <w:right w:val="nil"/>
            </w:tcBorders>
            <w:noWrap/>
            <w:vAlign w:val="center"/>
          </w:tcPr>
          <w:p w14:paraId="6E432A36">
            <w:pPr>
              <w:jc w:val="center"/>
              <w:rPr>
                <w:color w:val="000000"/>
                <w:sz w:val="20"/>
                <w:szCs w:val="20"/>
              </w:rPr>
            </w:pPr>
            <w:r>
              <w:rPr>
                <w:color w:val="000000"/>
                <w:sz w:val="20"/>
                <w:szCs w:val="20"/>
              </w:rPr>
              <w:t>&lt;0.26</w:t>
            </w:r>
          </w:p>
        </w:tc>
      </w:tr>
      <w:tr w14:paraId="3AD9804F">
        <w:trPr>
          <w:trHeight w:val="420" w:hRule="atLeast"/>
        </w:trPr>
        <w:tc>
          <w:tcPr>
            <w:tcW w:w="0" w:type="auto"/>
            <w:tcBorders>
              <w:top w:val="nil"/>
              <w:left w:val="nil"/>
              <w:bottom w:val="nil"/>
              <w:right w:val="nil"/>
            </w:tcBorders>
            <w:noWrap/>
            <w:vAlign w:val="center"/>
          </w:tcPr>
          <w:p w14:paraId="10EC8B40">
            <w:pPr>
              <w:jc w:val="center"/>
              <w:rPr>
                <w:color w:val="000000"/>
                <w:sz w:val="20"/>
                <w:szCs w:val="20"/>
              </w:rPr>
            </w:pPr>
            <w:r>
              <w:rPr>
                <w:color w:val="000000"/>
                <w:sz w:val="20"/>
                <w:szCs w:val="20"/>
              </w:rPr>
              <w:t>AUC (95%CI)</w:t>
            </w:r>
          </w:p>
        </w:tc>
        <w:tc>
          <w:tcPr>
            <w:tcW w:w="0" w:type="auto"/>
            <w:tcBorders>
              <w:top w:val="nil"/>
              <w:left w:val="nil"/>
              <w:bottom w:val="nil"/>
              <w:right w:val="nil"/>
            </w:tcBorders>
            <w:noWrap/>
            <w:vAlign w:val="center"/>
          </w:tcPr>
          <w:p w14:paraId="5DA6D124">
            <w:pPr>
              <w:jc w:val="center"/>
              <w:rPr>
                <w:color w:val="000000"/>
                <w:sz w:val="20"/>
                <w:szCs w:val="20"/>
              </w:rPr>
            </w:pPr>
            <w:r>
              <w:rPr>
                <w:color w:val="000000"/>
                <w:sz w:val="20"/>
                <w:szCs w:val="20"/>
              </w:rPr>
              <w:t>0.85 (0.80 – 0.90)</w:t>
            </w:r>
          </w:p>
        </w:tc>
        <w:tc>
          <w:tcPr>
            <w:tcW w:w="0" w:type="auto"/>
            <w:tcBorders>
              <w:top w:val="nil"/>
              <w:left w:val="nil"/>
              <w:bottom w:val="nil"/>
              <w:right w:val="nil"/>
            </w:tcBorders>
            <w:noWrap/>
            <w:vAlign w:val="center"/>
          </w:tcPr>
          <w:p w14:paraId="63B24970">
            <w:pPr>
              <w:jc w:val="center"/>
              <w:rPr>
                <w:color w:val="000000"/>
                <w:sz w:val="20"/>
                <w:szCs w:val="20"/>
              </w:rPr>
            </w:pPr>
            <w:r>
              <w:rPr>
                <w:color w:val="000000"/>
                <w:sz w:val="20"/>
                <w:szCs w:val="20"/>
              </w:rPr>
              <w:t>0.87 (0.82 – 0.92)</w:t>
            </w:r>
          </w:p>
        </w:tc>
        <w:tc>
          <w:tcPr>
            <w:tcW w:w="0" w:type="auto"/>
            <w:tcBorders>
              <w:top w:val="nil"/>
              <w:left w:val="nil"/>
              <w:bottom w:val="nil"/>
              <w:right w:val="nil"/>
            </w:tcBorders>
            <w:noWrap/>
            <w:vAlign w:val="center"/>
          </w:tcPr>
          <w:p w14:paraId="49B83517">
            <w:pPr>
              <w:jc w:val="center"/>
              <w:rPr>
                <w:color w:val="000000"/>
                <w:sz w:val="20"/>
                <w:szCs w:val="20"/>
              </w:rPr>
            </w:pPr>
            <w:r>
              <w:rPr>
                <w:color w:val="000000"/>
                <w:sz w:val="20"/>
                <w:szCs w:val="20"/>
              </w:rPr>
              <w:t>0.75 (0.70 – 0.80)</w:t>
            </w:r>
          </w:p>
        </w:tc>
      </w:tr>
      <w:tr w14:paraId="21BB7077">
        <w:trPr>
          <w:trHeight w:val="408" w:hRule="atLeast"/>
        </w:trPr>
        <w:tc>
          <w:tcPr>
            <w:tcW w:w="0" w:type="auto"/>
            <w:tcBorders>
              <w:top w:val="nil"/>
              <w:left w:val="nil"/>
              <w:bottom w:val="nil"/>
              <w:right w:val="nil"/>
            </w:tcBorders>
            <w:noWrap/>
            <w:vAlign w:val="center"/>
          </w:tcPr>
          <w:p w14:paraId="451C1F14">
            <w:pPr>
              <w:jc w:val="center"/>
              <w:rPr>
                <w:color w:val="000000"/>
                <w:sz w:val="20"/>
                <w:szCs w:val="20"/>
              </w:rPr>
            </w:pPr>
            <w:r>
              <w:rPr>
                <w:color w:val="000000"/>
                <w:sz w:val="20"/>
                <w:szCs w:val="20"/>
              </w:rPr>
              <w:t>Sensitivity% (95%CI)</w:t>
            </w:r>
          </w:p>
        </w:tc>
        <w:tc>
          <w:tcPr>
            <w:tcW w:w="0" w:type="auto"/>
            <w:tcBorders>
              <w:top w:val="nil"/>
              <w:left w:val="nil"/>
              <w:bottom w:val="nil"/>
              <w:right w:val="nil"/>
            </w:tcBorders>
            <w:noWrap/>
            <w:vAlign w:val="center"/>
          </w:tcPr>
          <w:p w14:paraId="62E12DF0">
            <w:pPr>
              <w:jc w:val="center"/>
              <w:rPr>
                <w:color w:val="000000"/>
                <w:sz w:val="20"/>
                <w:szCs w:val="20"/>
              </w:rPr>
            </w:pPr>
            <w:r>
              <w:rPr>
                <w:color w:val="000000"/>
                <w:sz w:val="20"/>
                <w:szCs w:val="20"/>
              </w:rPr>
              <w:t>81 (76 – 86)</w:t>
            </w:r>
          </w:p>
        </w:tc>
        <w:tc>
          <w:tcPr>
            <w:tcW w:w="0" w:type="auto"/>
            <w:tcBorders>
              <w:top w:val="nil"/>
              <w:left w:val="nil"/>
              <w:bottom w:val="nil"/>
              <w:right w:val="nil"/>
            </w:tcBorders>
            <w:noWrap/>
            <w:vAlign w:val="center"/>
          </w:tcPr>
          <w:p w14:paraId="73AC2AB3">
            <w:pPr>
              <w:jc w:val="center"/>
              <w:rPr>
                <w:color w:val="000000"/>
                <w:sz w:val="20"/>
                <w:szCs w:val="20"/>
              </w:rPr>
            </w:pPr>
            <w:r>
              <w:rPr>
                <w:color w:val="000000"/>
                <w:sz w:val="20"/>
                <w:szCs w:val="20"/>
              </w:rPr>
              <w:t>85 (80 – 90)</w:t>
            </w:r>
          </w:p>
        </w:tc>
        <w:tc>
          <w:tcPr>
            <w:tcW w:w="0" w:type="auto"/>
            <w:tcBorders>
              <w:top w:val="nil"/>
              <w:left w:val="nil"/>
              <w:bottom w:val="nil"/>
              <w:right w:val="nil"/>
            </w:tcBorders>
            <w:noWrap/>
            <w:vAlign w:val="center"/>
          </w:tcPr>
          <w:p w14:paraId="2EEEFF0D">
            <w:pPr>
              <w:jc w:val="center"/>
              <w:rPr>
                <w:color w:val="000000"/>
                <w:sz w:val="20"/>
                <w:szCs w:val="20"/>
              </w:rPr>
            </w:pPr>
            <w:r>
              <w:rPr>
                <w:color w:val="000000"/>
                <w:sz w:val="20"/>
                <w:szCs w:val="20"/>
              </w:rPr>
              <w:t>78 (73 – 83)</w:t>
            </w:r>
          </w:p>
        </w:tc>
      </w:tr>
      <w:tr w14:paraId="067B2033">
        <w:trPr>
          <w:trHeight w:val="408" w:hRule="atLeast"/>
        </w:trPr>
        <w:tc>
          <w:tcPr>
            <w:tcW w:w="0" w:type="auto"/>
            <w:tcBorders>
              <w:top w:val="nil"/>
              <w:left w:val="nil"/>
              <w:bottom w:val="nil"/>
              <w:right w:val="nil"/>
            </w:tcBorders>
            <w:noWrap/>
            <w:vAlign w:val="center"/>
          </w:tcPr>
          <w:p w14:paraId="2ED6376F">
            <w:pPr>
              <w:jc w:val="center"/>
              <w:rPr>
                <w:color w:val="000000"/>
                <w:sz w:val="20"/>
                <w:szCs w:val="20"/>
              </w:rPr>
            </w:pPr>
            <w:r>
              <w:rPr>
                <w:color w:val="000000"/>
                <w:sz w:val="20"/>
                <w:szCs w:val="20"/>
              </w:rPr>
              <w:t>Specificity%</w:t>
            </w:r>
            <w:r>
              <w:rPr>
                <w:rFonts w:hint="eastAsia"/>
                <w:color w:val="000000"/>
                <w:sz w:val="20"/>
                <w:szCs w:val="20"/>
              </w:rPr>
              <w:t xml:space="preserve"> </w:t>
            </w:r>
            <w:r>
              <w:rPr>
                <w:color w:val="000000"/>
                <w:sz w:val="20"/>
                <w:szCs w:val="20"/>
              </w:rPr>
              <w:t>(95%CI)</w:t>
            </w:r>
          </w:p>
        </w:tc>
        <w:tc>
          <w:tcPr>
            <w:tcW w:w="0" w:type="auto"/>
            <w:tcBorders>
              <w:top w:val="nil"/>
              <w:left w:val="nil"/>
              <w:bottom w:val="nil"/>
              <w:right w:val="nil"/>
            </w:tcBorders>
            <w:noWrap/>
            <w:vAlign w:val="center"/>
          </w:tcPr>
          <w:p w14:paraId="6B196B9F">
            <w:pPr>
              <w:jc w:val="center"/>
              <w:rPr>
                <w:color w:val="000000"/>
                <w:sz w:val="20"/>
                <w:szCs w:val="20"/>
              </w:rPr>
            </w:pPr>
            <w:r>
              <w:rPr>
                <w:color w:val="000000"/>
                <w:sz w:val="20"/>
                <w:szCs w:val="20"/>
              </w:rPr>
              <w:t>82 (77 – 87)</w:t>
            </w:r>
          </w:p>
        </w:tc>
        <w:tc>
          <w:tcPr>
            <w:tcW w:w="0" w:type="auto"/>
            <w:tcBorders>
              <w:top w:val="nil"/>
              <w:left w:val="nil"/>
              <w:bottom w:val="nil"/>
              <w:right w:val="nil"/>
            </w:tcBorders>
            <w:noWrap/>
            <w:vAlign w:val="center"/>
          </w:tcPr>
          <w:p w14:paraId="4942ABD8">
            <w:pPr>
              <w:jc w:val="center"/>
              <w:rPr>
                <w:color w:val="000000"/>
                <w:sz w:val="20"/>
                <w:szCs w:val="20"/>
              </w:rPr>
            </w:pPr>
            <w:r>
              <w:rPr>
                <w:color w:val="000000"/>
                <w:sz w:val="20"/>
                <w:szCs w:val="20"/>
              </w:rPr>
              <w:t>84 (79 – 89)</w:t>
            </w:r>
          </w:p>
        </w:tc>
        <w:tc>
          <w:tcPr>
            <w:tcW w:w="0" w:type="auto"/>
            <w:tcBorders>
              <w:top w:val="nil"/>
              <w:left w:val="nil"/>
              <w:bottom w:val="nil"/>
              <w:right w:val="nil"/>
            </w:tcBorders>
            <w:noWrap/>
            <w:vAlign w:val="center"/>
          </w:tcPr>
          <w:p w14:paraId="1DC76BB1">
            <w:pPr>
              <w:jc w:val="center"/>
              <w:rPr>
                <w:color w:val="000000"/>
                <w:sz w:val="20"/>
                <w:szCs w:val="20"/>
              </w:rPr>
            </w:pPr>
            <w:r>
              <w:rPr>
                <w:color w:val="000000"/>
                <w:sz w:val="20"/>
                <w:szCs w:val="20"/>
              </w:rPr>
              <w:t>80 (75 – 85)</w:t>
            </w:r>
          </w:p>
        </w:tc>
      </w:tr>
      <w:tr w14:paraId="2151E8FA">
        <w:trPr>
          <w:trHeight w:val="408" w:hRule="atLeast"/>
        </w:trPr>
        <w:tc>
          <w:tcPr>
            <w:tcW w:w="0" w:type="auto"/>
            <w:tcBorders>
              <w:top w:val="nil"/>
              <w:left w:val="nil"/>
              <w:bottom w:val="nil"/>
              <w:right w:val="nil"/>
            </w:tcBorders>
            <w:noWrap/>
            <w:vAlign w:val="center"/>
          </w:tcPr>
          <w:p w14:paraId="3C8EEF29">
            <w:pPr>
              <w:jc w:val="center"/>
              <w:rPr>
                <w:color w:val="000000"/>
                <w:sz w:val="20"/>
                <w:szCs w:val="20"/>
              </w:rPr>
            </w:pPr>
            <w:r>
              <w:rPr>
                <w:color w:val="000000"/>
                <w:sz w:val="20"/>
                <w:szCs w:val="20"/>
              </w:rPr>
              <w:t>PPV% (95%CI)</w:t>
            </w:r>
          </w:p>
        </w:tc>
        <w:tc>
          <w:tcPr>
            <w:tcW w:w="0" w:type="auto"/>
            <w:tcBorders>
              <w:top w:val="nil"/>
              <w:left w:val="nil"/>
              <w:bottom w:val="nil"/>
              <w:right w:val="nil"/>
            </w:tcBorders>
            <w:noWrap/>
            <w:vAlign w:val="center"/>
          </w:tcPr>
          <w:p w14:paraId="5279DF4B">
            <w:pPr>
              <w:jc w:val="center"/>
              <w:rPr>
                <w:color w:val="000000"/>
                <w:sz w:val="20"/>
                <w:szCs w:val="20"/>
              </w:rPr>
            </w:pPr>
            <w:r>
              <w:rPr>
                <w:color w:val="000000"/>
                <w:sz w:val="20"/>
                <w:szCs w:val="20"/>
              </w:rPr>
              <w:t>73 (68 – 78)</w:t>
            </w:r>
          </w:p>
        </w:tc>
        <w:tc>
          <w:tcPr>
            <w:tcW w:w="0" w:type="auto"/>
            <w:tcBorders>
              <w:top w:val="nil"/>
              <w:left w:val="nil"/>
              <w:bottom w:val="nil"/>
              <w:right w:val="nil"/>
            </w:tcBorders>
            <w:noWrap/>
            <w:vAlign w:val="center"/>
          </w:tcPr>
          <w:p w14:paraId="28783390">
            <w:pPr>
              <w:jc w:val="center"/>
              <w:rPr>
                <w:color w:val="000000"/>
                <w:sz w:val="20"/>
                <w:szCs w:val="20"/>
              </w:rPr>
            </w:pPr>
            <w:r>
              <w:rPr>
                <w:color w:val="000000"/>
                <w:sz w:val="20"/>
                <w:szCs w:val="20"/>
              </w:rPr>
              <w:t>75 (70 – 80)</w:t>
            </w:r>
          </w:p>
        </w:tc>
        <w:tc>
          <w:tcPr>
            <w:tcW w:w="0" w:type="auto"/>
            <w:tcBorders>
              <w:top w:val="nil"/>
              <w:left w:val="nil"/>
              <w:bottom w:val="nil"/>
              <w:right w:val="nil"/>
            </w:tcBorders>
            <w:noWrap/>
            <w:vAlign w:val="center"/>
          </w:tcPr>
          <w:p w14:paraId="265EE3B2">
            <w:pPr>
              <w:jc w:val="center"/>
              <w:rPr>
                <w:color w:val="000000"/>
                <w:sz w:val="20"/>
                <w:szCs w:val="20"/>
              </w:rPr>
            </w:pPr>
            <w:r>
              <w:rPr>
                <w:color w:val="000000"/>
                <w:sz w:val="20"/>
                <w:szCs w:val="20"/>
              </w:rPr>
              <w:t>79 (73 – 85)</w:t>
            </w:r>
          </w:p>
        </w:tc>
      </w:tr>
      <w:tr w14:paraId="7DA8C510">
        <w:trPr>
          <w:trHeight w:val="408" w:hRule="atLeast"/>
        </w:trPr>
        <w:tc>
          <w:tcPr>
            <w:tcW w:w="0" w:type="auto"/>
            <w:tcBorders>
              <w:top w:val="nil"/>
              <w:left w:val="nil"/>
              <w:bottom w:val="single" w:color="000000" w:sz="4" w:space="0"/>
              <w:right w:val="nil"/>
            </w:tcBorders>
            <w:noWrap/>
            <w:vAlign w:val="center"/>
          </w:tcPr>
          <w:p w14:paraId="5E6372F8">
            <w:pPr>
              <w:jc w:val="center"/>
              <w:rPr>
                <w:color w:val="000000"/>
                <w:sz w:val="20"/>
                <w:szCs w:val="20"/>
              </w:rPr>
            </w:pPr>
            <w:r>
              <w:rPr>
                <w:color w:val="000000"/>
                <w:sz w:val="20"/>
                <w:szCs w:val="20"/>
              </w:rPr>
              <w:t>NPV% (95%CI)</w:t>
            </w:r>
          </w:p>
        </w:tc>
        <w:tc>
          <w:tcPr>
            <w:tcW w:w="0" w:type="auto"/>
            <w:tcBorders>
              <w:top w:val="nil"/>
              <w:left w:val="nil"/>
              <w:bottom w:val="single" w:color="000000" w:sz="4" w:space="0"/>
              <w:right w:val="nil"/>
            </w:tcBorders>
            <w:noWrap/>
            <w:vAlign w:val="center"/>
          </w:tcPr>
          <w:p w14:paraId="283E7E1E">
            <w:pPr>
              <w:jc w:val="center"/>
              <w:rPr>
                <w:color w:val="000000"/>
                <w:sz w:val="20"/>
                <w:szCs w:val="20"/>
              </w:rPr>
            </w:pPr>
            <w:r>
              <w:rPr>
                <w:color w:val="000000"/>
                <w:sz w:val="20"/>
                <w:szCs w:val="20"/>
              </w:rPr>
              <w:t>75 (70 – 80)</w:t>
            </w:r>
          </w:p>
        </w:tc>
        <w:tc>
          <w:tcPr>
            <w:tcW w:w="0" w:type="auto"/>
            <w:tcBorders>
              <w:top w:val="nil"/>
              <w:left w:val="nil"/>
              <w:bottom w:val="single" w:color="000000" w:sz="4" w:space="0"/>
              <w:right w:val="nil"/>
            </w:tcBorders>
            <w:noWrap/>
            <w:vAlign w:val="center"/>
          </w:tcPr>
          <w:p w14:paraId="00791F91">
            <w:pPr>
              <w:jc w:val="center"/>
              <w:rPr>
                <w:color w:val="000000"/>
                <w:sz w:val="20"/>
                <w:szCs w:val="20"/>
              </w:rPr>
            </w:pPr>
            <w:r>
              <w:rPr>
                <w:color w:val="000000"/>
                <w:sz w:val="20"/>
                <w:szCs w:val="20"/>
              </w:rPr>
              <w:t>75 (70 – 80)</w:t>
            </w:r>
          </w:p>
        </w:tc>
        <w:tc>
          <w:tcPr>
            <w:tcW w:w="0" w:type="auto"/>
            <w:tcBorders>
              <w:top w:val="nil"/>
              <w:left w:val="nil"/>
              <w:bottom w:val="single" w:color="000000" w:sz="4" w:space="0"/>
              <w:right w:val="nil"/>
            </w:tcBorders>
            <w:noWrap/>
            <w:vAlign w:val="center"/>
          </w:tcPr>
          <w:p w14:paraId="41BCA8E9">
            <w:pPr>
              <w:jc w:val="center"/>
              <w:rPr>
                <w:color w:val="000000"/>
                <w:sz w:val="20"/>
                <w:szCs w:val="20"/>
              </w:rPr>
            </w:pPr>
            <w:r>
              <w:rPr>
                <w:color w:val="000000"/>
                <w:sz w:val="20"/>
                <w:szCs w:val="20"/>
              </w:rPr>
              <w:t>79 (74 – 84)</w:t>
            </w:r>
          </w:p>
        </w:tc>
      </w:tr>
    </w:tbl>
    <w:p w14:paraId="4E9CFAFC">
      <w:pPr>
        <w:rPr>
          <w:rStyle w:val="34"/>
          <w:b w:val="0"/>
          <w:bCs/>
          <w:color w:val="404040"/>
          <w:sz w:val="20"/>
          <w:szCs w:val="20"/>
        </w:rPr>
      </w:pPr>
      <w:r>
        <w:rPr>
          <w:rStyle w:val="34"/>
          <w:b w:val="0"/>
          <w:bCs/>
          <w:color w:val="404040"/>
          <w:sz w:val="20"/>
          <w:szCs w:val="20"/>
        </w:rPr>
        <w:t>PPV, Positive Predictive Value; NPV, Negative Predictive Value</w:t>
      </w:r>
    </w:p>
    <w:p w14:paraId="17275791">
      <w:pPr>
        <w:widowControl/>
        <w:jc w:val="left"/>
        <w:rPr>
          <w:b/>
          <w:bCs/>
          <w:kern w:val="0"/>
          <w:sz w:val="20"/>
          <w:szCs w:val="20"/>
        </w:rPr>
      </w:pPr>
      <w:bookmarkStart w:id="1" w:name="_GoBack"/>
      <w:bookmarkEnd w:id="1"/>
      <w:r>
        <w:rPr>
          <w:b/>
          <w:bCs/>
          <w:kern w:val="0"/>
          <w:sz w:val="20"/>
          <w:szCs w:val="20"/>
        </w:rPr>
        <w:br w:type="page"/>
      </w:r>
      <w:r>
        <w:rPr>
          <w:b/>
          <w:bCs/>
          <w:kern w:val="0"/>
          <w:sz w:val="20"/>
          <w:szCs w:val="20"/>
        </w:rPr>
        <w:drawing>
          <wp:inline distT="0" distB="0" distL="0" distR="0">
            <wp:extent cx="6645910" cy="2715260"/>
            <wp:effectExtent l="0" t="0" r="0" b="2540"/>
            <wp:docPr id="1864301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01396"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45910" cy="2715260"/>
                    </a:xfrm>
                    <a:prstGeom prst="rect">
                      <a:avLst/>
                    </a:prstGeom>
                  </pic:spPr>
                </pic:pic>
              </a:graphicData>
            </a:graphic>
          </wp:inline>
        </w:drawing>
      </w:r>
      <w:r>
        <w:rPr>
          <w:b/>
          <w:bCs/>
          <w:kern w:val="0"/>
          <w:sz w:val="20"/>
          <w:szCs w:val="20"/>
        </w:rPr>
        <w:t>Fig. S1:</w:t>
      </w:r>
      <w:r>
        <w:rPr>
          <w:kern w:val="0"/>
          <w:sz w:val="20"/>
          <w:szCs w:val="20"/>
        </w:rPr>
        <w:t xml:space="preserve"> </w:t>
      </w:r>
      <w:r>
        <w:rPr>
          <w:rFonts w:hint="eastAsia"/>
          <w:kern w:val="0"/>
          <w:sz w:val="20"/>
          <w:szCs w:val="20"/>
        </w:rPr>
        <w:t>Correlation matrix between thymic imaging features and demographic/clinical characteristics in MG patients (n=75) (A) and LOMG patients (n=59) (B). The heatmap shows the Spearman's rank correlation coefficients (rs) between thymic imaging features and demographic/clinical characteristics. Positive correlations are represented by red and orange, while negative correlations are represented by blue and cyan. The intensity of the colors reflects the strength of the correlations. The numbers in the lower left corner of the heatmap show the values of the correlation coefficients. The observed associations indicate that glycolipid abnormalities exacerbate thymic fatty degeneration.</w:t>
      </w:r>
      <w:r>
        <w:rPr>
          <w:rFonts w:hint="eastAsia"/>
        </w:rPr>
        <w:t xml:space="preserve"> </w:t>
      </w:r>
      <w:r>
        <w:rPr>
          <w:sz w:val="20"/>
          <w:szCs w:val="20"/>
        </w:rPr>
        <w:t>(*</w:t>
      </w:r>
      <w:r>
        <w:rPr>
          <w:i/>
          <w:iCs/>
          <w:sz w:val="20"/>
          <w:szCs w:val="20"/>
        </w:rPr>
        <w:t>p</w:t>
      </w:r>
      <w:r>
        <w:rPr>
          <w:sz w:val="20"/>
          <w:szCs w:val="20"/>
        </w:rPr>
        <w:t xml:space="preserve"> &lt; 0.05 **</w:t>
      </w:r>
      <w:r>
        <w:rPr>
          <w:i/>
          <w:iCs/>
          <w:sz w:val="20"/>
          <w:szCs w:val="20"/>
        </w:rPr>
        <w:t>p</w:t>
      </w:r>
      <w:r>
        <w:rPr>
          <w:sz w:val="20"/>
          <w:szCs w:val="20"/>
        </w:rPr>
        <w:t xml:space="preserve"> &lt;0.01 ***</w:t>
      </w:r>
      <w:r>
        <w:rPr>
          <w:i/>
          <w:iCs/>
          <w:sz w:val="20"/>
          <w:szCs w:val="20"/>
        </w:rPr>
        <w:t>p</w:t>
      </w:r>
      <w:r>
        <w:rPr>
          <w:sz w:val="20"/>
          <w:szCs w:val="20"/>
        </w:rPr>
        <w:t xml:space="preserve"> &lt; 0.001).</w:t>
      </w:r>
    </w:p>
    <w:p w14:paraId="174111F2"/>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Times New Roman Regular">
    <w:panose1 w:val="02020603050405020304"/>
    <w:charset w:val="00"/>
    <w:family w:val="roman"/>
    <w:pitch w:val="default"/>
    <w:sig w:usb0="E0002AEF" w:usb1="C0007841" w:usb2="00000009" w:usb3="00000000" w:csb0="400001FF" w:csb1="FFFF0000"/>
  </w:font>
  <w:font w:name="宋体-简">
    <w:panose1 w:val="02010800040101010101"/>
    <w:charset w:val="86"/>
    <w:family w:val="auto"/>
    <w:pitch w:val="default"/>
    <w:sig w:usb0="00000001" w:usb1="080F0000" w:usb2="00000000" w:usb3="00000000" w:csb0="00040000"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DA"/>
    <w:rsid w:val="00067356"/>
    <w:rsid w:val="000700AC"/>
    <w:rsid w:val="000F5AF9"/>
    <w:rsid w:val="001002E8"/>
    <w:rsid w:val="001114F1"/>
    <w:rsid w:val="00175E08"/>
    <w:rsid w:val="001A3FAC"/>
    <w:rsid w:val="001C48BC"/>
    <w:rsid w:val="001F0A00"/>
    <w:rsid w:val="00207651"/>
    <w:rsid w:val="002203E0"/>
    <w:rsid w:val="002465EB"/>
    <w:rsid w:val="002472BA"/>
    <w:rsid w:val="00270C82"/>
    <w:rsid w:val="00273E33"/>
    <w:rsid w:val="00301CB5"/>
    <w:rsid w:val="00341E03"/>
    <w:rsid w:val="0036163C"/>
    <w:rsid w:val="00376B4E"/>
    <w:rsid w:val="00397C49"/>
    <w:rsid w:val="00411921"/>
    <w:rsid w:val="00465501"/>
    <w:rsid w:val="004707E3"/>
    <w:rsid w:val="00480664"/>
    <w:rsid w:val="004B564D"/>
    <w:rsid w:val="004B5B05"/>
    <w:rsid w:val="004C2328"/>
    <w:rsid w:val="004E1EB0"/>
    <w:rsid w:val="00511B2C"/>
    <w:rsid w:val="00516AC5"/>
    <w:rsid w:val="0052699C"/>
    <w:rsid w:val="00555E6E"/>
    <w:rsid w:val="00561448"/>
    <w:rsid w:val="00565DF7"/>
    <w:rsid w:val="00586381"/>
    <w:rsid w:val="00586F27"/>
    <w:rsid w:val="005F11F6"/>
    <w:rsid w:val="00614678"/>
    <w:rsid w:val="00623C70"/>
    <w:rsid w:val="00627792"/>
    <w:rsid w:val="00666DCA"/>
    <w:rsid w:val="00691A12"/>
    <w:rsid w:val="006C6299"/>
    <w:rsid w:val="006F092C"/>
    <w:rsid w:val="007027DD"/>
    <w:rsid w:val="0074574E"/>
    <w:rsid w:val="007569A0"/>
    <w:rsid w:val="00786675"/>
    <w:rsid w:val="007C40C2"/>
    <w:rsid w:val="00835BC3"/>
    <w:rsid w:val="0087618B"/>
    <w:rsid w:val="008A4C89"/>
    <w:rsid w:val="008C6E29"/>
    <w:rsid w:val="008E0BD1"/>
    <w:rsid w:val="00A35428"/>
    <w:rsid w:val="00A5166E"/>
    <w:rsid w:val="00A519E4"/>
    <w:rsid w:val="00A60B16"/>
    <w:rsid w:val="00A7251C"/>
    <w:rsid w:val="00A82CCC"/>
    <w:rsid w:val="00AE149E"/>
    <w:rsid w:val="00AE1F35"/>
    <w:rsid w:val="00AF4825"/>
    <w:rsid w:val="00B05758"/>
    <w:rsid w:val="00B14B5F"/>
    <w:rsid w:val="00B36D18"/>
    <w:rsid w:val="00BC2BF7"/>
    <w:rsid w:val="00BF245E"/>
    <w:rsid w:val="00C241EE"/>
    <w:rsid w:val="00C25EE7"/>
    <w:rsid w:val="00C261C7"/>
    <w:rsid w:val="00C5051E"/>
    <w:rsid w:val="00C70353"/>
    <w:rsid w:val="00C707E1"/>
    <w:rsid w:val="00C92C71"/>
    <w:rsid w:val="00D97CDA"/>
    <w:rsid w:val="00DA0E1C"/>
    <w:rsid w:val="00DF28FB"/>
    <w:rsid w:val="00E06FC2"/>
    <w:rsid w:val="00E16A5F"/>
    <w:rsid w:val="00E213EA"/>
    <w:rsid w:val="00E350E5"/>
    <w:rsid w:val="00E40C18"/>
    <w:rsid w:val="00E531E6"/>
    <w:rsid w:val="00E74D9A"/>
    <w:rsid w:val="00E84665"/>
    <w:rsid w:val="00EB446C"/>
    <w:rsid w:val="00ED56F4"/>
    <w:rsid w:val="00F17FE1"/>
    <w:rsid w:val="00F22252"/>
    <w:rsid w:val="00F320C5"/>
    <w:rsid w:val="00F61796"/>
    <w:rsid w:val="00F72FF5"/>
    <w:rsid w:val="00F9328C"/>
    <w:rsid w:val="00F93B17"/>
    <w:rsid w:val="00FB4BB5"/>
    <w:rsid w:val="00FC41AD"/>
    <w:rsid w:val="00FC5914"/>
    <w:rsid w:val="00FE562B"/>
    <w:rsid w:val="00FF02DA"/>
    <w:rsid w:val="3D6C2D2E"/>
    <w:rsid w:val="3FF78408"/>
    <w:rsid w:val="7BFF6039"/>
    <w:rsid w:val="ED9E8C71"/>
    <w:rsid w:val="FFB37AE3"/>
    <w:rsid w:val="FFD64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4">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2">
    <w:name w:val="heading 3"/>
    <w:basedOn w:val="1"/>
    <w:next w:val="1"/>
    <w:link w:val="18"/>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19"/>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0"/>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14:ligatures w14:val="standardContextual"/>
    </w:rPr>
  </w:style>
  <w:style w:type="paragraph" w:styleId="7">
    <w:name w:val="heading 6"/>
    <w:basedOn w:val="1"/>
    <w:next w:val="1"/>
    <w:link w:val="21"/>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4"/>
      <w14:ligatures w14:val="standardContextual"/>
    </w:rPr>
  </w:style>
  <w:style w:type="paragraph" w:styleId="8">
    <w:name w:val="heading 7"/>
    <w:basedOn w:val="1"/>
    <w:next w:val="1"/>
    <w:link w:val="22"/>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3"/>
    <w:semiHidden/>
    <w:unhideWhenUsed/>
    <w:qFormat/>
    <w:uiPriority w:val="9"/>
    <w:pPr>
      <w:keepNext/>
      <w:keepLines/>
      <w:outlineLvl w:val="7"/>
    </w:pPr>
    <w:rPr>
      <w:rFonts w:asciiTheme="minorHAnsi" w:hAnsiTheme="minorHAnsi" w:eastAsiaTheme="minorEastAsia" w:cstheme="majorBidi"/>
      <w:color w:val="595959" w:themeColor="text1" w:themeTint="A6"/>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4"/>
    <w:semiHidden/>
    <w:unhideWhenUsed/>
    <w:qFormat/>
    <w:uiPriority w:val="9"/>
    <w:pPr>
      <w:keepNext/>
      <w:keepLines/>
      <w:outlineLvl w:val="8"/>
    </w:pPr>
    <w:rPr>
      <w:rFonts w:asciiTheme="minorHAnsi" w:hAnsiTheme="minorHAnsi" w:eastAsiaTheme="majorEastAsia" w:cstheme="majorBidi"/>
      <w:color w:val="595959" w:themeColor="text1" w:themeTint="A6"/>
      <w:szCs w:val="24"/>
      <w14:textFill>
        <w14:solidFill>
          <w14:schemeClr w14:val="tx1">
            <w14:lumMod w14:val="65000"/>
            <w14:lumOff w14:val="35000"/>
          </w14:schemeClr>
        </w14:solidFill>
      </w14:textFill>
      <w14:ligatures w14:val="standardContextual"/>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2">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4">
    <w:name w:val="Table Grid"/>
    <w:basedOn w:val="13"/>
    <w:uiPriority w:val="99"/>
    <w:pPr>
      <w:widowControl w:val="0"/>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basedOn w:val="15"/>
    <w:link w:val="3"/>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4"/>
    <w:semiHidden/>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2"/>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5"/>
    <w:semiHidden/>
    <w:uiPriority w:val="9"/>
    <w:rPr>
      <w:rFonts w:cstheme="majorBidi"/>
      <w:color w:val="104862" w:themeColor="accent1" w:themeShade="BF"/>
      <w:sz w:val="28"/>
      <w:szCs w:val="28"/>
    </w:rPr>
  </w:style>
  <w:style w:type="character" w:customStyle="1" w:styleId="20">
    <w:name w:val="标题 5 字符"/>
    <w:basedOn w:val="15"/>
    <w:link w:val="6"/>
    <w:semiHidden/>
    <w:uiPriority w:val="9"/>
    <w:rPr>
      <w:rFonts w:cstheme="majorBidi"/>
      <w:color w:val="104862" w:themeColor="accent1" w:themeShade="BF"/>
      <w:sz w:val="24"/>
    </w:rPr>
  </w:style>
  <w:style w:type="character" w:customStyle="1" w:styleId="21">
    <w:name w:val="标题 6 字符"/>
    <w:basedOn w:val="15"/>
    <w:link w:val="7"/>
    <w:semiHidden/>
    <w:uiPriority w:val="9"/>
    <w:rPr>
      <w:rFonts w:cstheme="majorBidi"/>
      <w:b/>
      <w:bCs/>
      <w:color w:val="104862" w:themeColor="accent1" w:themeShade="BF"/>
    </w:rPr>
  </w:style>
  <w:style w:type="character" w:customStyle="1" w:styleId="22">
    <w:name w:val="标题 7 字符"/>
    <w:basedOn w:val="15"/>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2"/>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rFonts w:asciiTheme="minorHAnsi" w:hAnsiTheme="minorHAnsi" w:eastAsiaTheme="minorEastAsia" w:cstheme="minorBidi"/>
      <w:i/>
      <w:iCs/>
      <w:color w:val="404040" w:themeColor="text1" w:themeTint="BF"/>
      <w:szCs w:val="24"/>
      <w14:textFill>
        <w14:solidFill>
          <w14:schemeClr w14:val="tx1">
            <w14:lumMod w14:val="75000"/>
            <w14:lumOff w14:val="25000"/>
          </w14:schemeClr>
        </w14:solidFill>
      </w14:textFill>
      <w14:ligatures w14:val="standardContextual"/>
    </w:rPr>
  </w:style>
  <w:style w:type="character" w:customStyle="1" w:styleId="28">
    <w:name w:val="引用 字符"/>
    <w:basedOn w:val="15"/>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rPr>
      <w:rFonts w:asciiTheme="minorHAnsi" w:hAnsiTheme="minorHAnsi" w:eastAsiaTheme="minorEastAsia" w:cstheme="minorBidi"/>
      <w:szCs w:val="24"/>
      <w14:ligatures w14:val="standardContextual"/>
    </w:rPr>
  </w:style>
  <w:style w:type="character" w:customStyle="1" w:styleId="30">
    <w:name w:val="明显强调1"/>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4"/>
      <w14:ligatures w14:val="standardContextual"/>
    </w:rPr>
  </w:style>
  <w:style w:type="character" w:customStyle="1" w:styleId="32">
    <w:name w:val="明显引用 字符"/>
    <w:basedOn w:val="15"/>
    <w:link w:val="31"/>
    <w:uiPriority w:val="30"/>
    <w:rPr>
      <w:i/>
      <w:iCs/>
      <w:color w:val="104862" w:themeColor="accent1" w:themeShade="BF"/>
    </w:rPr>
  </w:style>
  <w:style w:type="character" w:customStyle="1" w:styleId="33">
    <w:name w:val="明显参考1"/>
    <w:basedOn w:val="15"/>
    <w:qFormat/>
    <w:uiPriority w:val="32"/>
    <w:rPr>
      <w:b/>
      <w:bCs/>
      <w:smallCaps/>
      <w:color w:val="104862" w:themeColor="accent1" w:themeShade="BF"/>
      <w:spacing w:val="5"/>
    </w:rPr>
  </w:style>
  <w:style w:type="character" w:customStyle="1" w:styleId="34">
    <w:name w:val="15"/>
    <w:basedOn w:val="15"/>
    <w:uiPriority w:val="0"/>
    <w:rPr>
      <w:rFonts w:hint="default" w:ascii="Times New Roman" w:hAnsi="Times New Roman" w:cs="Times New Roman"/>
      <w:b/>
    </w:rPr>
  </w:style>
  <w:style w:type="character" w:customStyle="1" w:styleId="35">
    <w:name w:val="font11"/>
    <w:basedOn w:val="15"/>
    <w:uiPriority w:val="0"/>
    <w:rPr>
      <w:rFonts w:hint="default" w:ascii="Times New Roman Regular" w:hAnsi="Times New Roman Regular" w:cs="Times New Roman Regular"/>
      <w:color w:val="000000"/>
      <w:sz w:val="22"/>
      <w:szCs w:val="22"/>
      <w:u w:val="none"/>
    </w:rPr>
  </w:style>
  <w:style w:type="character" w:customStyle="1" w:styleId="36">
    <w:name w:val="font01"/>
    <w:basedOn w:val="15"/>
    <w:uiPriority w:val="0"/>
    <w:rPr>
      <w:rFonts w:hint="eastAsia" w:ascii="宋体" w:hAnsi="宋体" w:eastAsia="宋体"/>
      <w:color w:val="000000"/>
      <w:sz w:val="22"/>
      <w:szCs w:val="22"/>
      <w:u w:val="none"/>
    </w:rPr>
  </w:style>
  <w:style w:type="character" w:customStyle="1" w:styleId="37">
    <w:name w:val="font21"/>
    <w:basedOn w:val="15"/>
    <w:uiPriority w:val="0"/>
    <w:rPr>
      <w:rFonts w:hint="default" w:ascii="Times New Roman Regular" w:hAnsi="Times New Roman Regular" w:cs="Times New Roman Regular"/>
      <w:color w:val="000000"/>
      <w:sz w:val="22"/>
      <w:szCs w:val="22"/>
      <w:u w:val="none"/>
    </w:rPr>
  </w:style>
  <w:style w:type="character" w:customStyle="1" w:styleId="38">
    <w:name w:val="font41"/>
    <w:basedOn w:val="15"/>
    <w:uiPriority w:val="0"/>
    <w:rPr>
      <w:rFonts w:hint="eastAsia" w:ascii="宋体" w:hAnsi="宋体" w:eastAsia="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5518C41A-022B-444E-9F07-17B37096DB25}">
  <ds:schemaRefs/>
</ds:datastoreItem>
</file>

<file path=docProps/app.xml><?xml version="1.0" encoding="utf-8"?>
<Properties xmlns="http://schemas.openxmlformats.org/officeDocument/2006/extended-properties" xmlns:vt="http://schemas.openxmlformats.org/officeDocument/2006/docPropsVTypes">
  <Template>Normal.dotm</Template>
  <Pages>7</Pages>
  <Words>790</Words>
  <Characters>4507</Characters>
  <Lines>37</Lines>
  <Paragraphs>10</Paragraphs>
  <TotalTime>35</TotalTime>
  <ScaleCrop>false</ScaleCrop>
  <LinksUpToDate>false</LinksUpToDate>
  <CharactersWithSpaces>5287</CharactersWithSpaces>
  <Application>WPS Office_12.1.25201.25201_F1E327BC-269C-435d-A152-05C5408002CA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2025-09-08T19:12:00Z</dcterms:created>
  <dc:creator>office user</dc:creator>
  <cp:lastModifiedBy>wam</cp:lastModifiedBy>
  <dcterms:modified xsi:type="dcterms:W3CDTF">2026-02-24T22:03:38Z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2052-12.1.25201.25201</vt:lpwstr>
  </property>
  <property fmtid="{D5CDD505-2E9C-101B-9397-08002B2CF9AE}" pid="3" name="ICV">
    <vt:lpwstr>164437591EC34A1370A2BD68B46CD9C0_42</vt:lpwstr>
  </property>
</Properties>
</file>