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FD8" w:rsidRDefault="00362FD8" w:rsidP="00362FD8">
      <w:pPr>
        <w:spacing w:before="120" w:after="0"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Sample Size Determination or Calculation</w:t>
      </w:r>
    </w:p>
    <w:p w:rsidR="00362FD8" w:rsidRDefault="00362FD8" w:rsidP="00362FD8">
      <w:pPr>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researcher could obtain statistically significant results by utilizing the formula for determining the surviving sample size. To determine the required sample size for this investigation, the researcher used the sample size determination formula based on survival analysis [10], which is presented as follows:</w:t>
      </w:r>
      <w:bookmarkStart w:id="0" w:name="_GoBack"/>
      <w:bookmarkEnd w:id="0"/>
    </w:p>
    <w:p w:rsidR="00362FD8" w:rsidRDefault="00362FD8" w:rsidP="00362FD8">
      <w:pPr>
        <w:spacing w:after="0" w:line="360" w:lineRule="auto"/>
        <w:jc w:val="both"/>
        <w:rPr>
          <w:rFonts w:ascii="Times New Roman" w:eastAsiaTheme="minorEastAsia" w:hAnsi="Times New Roman" w:cs="Times New Roman"/>
          <w:bCs/>
          <w:color w:val="000000" w:themeColor="text1"/>
          <w:sz w:val="24"/>
          <w:szCs w:val="24"/>
        </w:rPr>
      </w:pPr>
      <m:oMathPara>
        <m:oMath>
          <m:r>
            <w:rPr>
              <w:rFonts w:ascii="Cambria Math" w:hAnsi="Cambria Math" w:cs="Times New Roman"/>
              <w:color w:val="000000" w:themeColor="text1"/>
              <w:sz w:val="24"/>
              <w:szCs w:val="24"/>
            </w:rPr>
            <m:t xml:space="preserve">n= </m:t>
          </m:r>
          <m:f>
            <m:fPr>
              <m:ctrlPr>
                <w:rPr>
                  <w:rFonts w:ascii="Cambria Math" w:hAnsi="Cambria Math" w:cs="Times New Roman"/>
                  <w:bCs/>
                  <w:i/>
                  <w:color w:val="000000" w:themeColor="text1"/>
                  <w:sz w:val="24"/>
                  <w:szCs w:val="24"/>
                </w:rPr>
              </m:ctrlPr>
            </m:fPr>
            <m:num>
              <m:r>
                <w:rPr>
                  <w:rFonts w:ascii="Cambria Math" w:hAnsi="Cambria Math" w:cs="Times New Roman"/>
                  <w:color w:val="000000" w:themeColor="text1"/>
                  <w:sz w:val="24"/>
                  <w:szCs w:val="24"/>
                </w:rPr>
                <m:t>d</m:t>
              </m:r>
            </m:num>
            <m:den>
              <m:r>
                <w:rPr>
                  <w:rFonts w:ascii="Cambria Math" w:hAnsi="Cambria Math" w:cs="Times New Roman"/>
                  <w:color w:val="000000" w:themeColor="text1"/>
                  <w:sz w:val="24"/>
                  <w:szCs w:val="24"/>
                </w:rPr>
                <m:t>p(defaulter)</m:t>
              </m:r>
            </m:den>
          </m:f>
        </m:oMath>
      </m:oMathPara>
    </w:p>
    <w:p w:rsidR="00362FD8" w:rsidRDefault="00362FD8" w:rsidP="00362FD8">
      <w:pPr>
        <w:spacing w:after="0" w:line="360" w:lineRule="auto"/>
        <w:jc w:val="both"/>
        <w:rPr>
          <w:rFonts w:ascii="Times New Roman" w:hAnsi="Times New Roman" w:cs="Times New Roman"/>
          <w:color w:val="000000" w:themeColor="text1"/>
          <w:sz w:val="24"/>
          <w:szCs w:val="24"/>
        </w:rPr>
      </w:pPr>
      <w:r>
        <w:rPr>
          <w:rFonts w:ascii="Times New Roman" w:eastAsiaTheme="minorEastAsia" w:hAnsi="Times New Roman" w:cs="Times New Roman"/>
          <w:bCs/>
          <w:color w:val="000000" w:themeColor="text1"/>
          <w:sz w:val="24"/>
          <w:szCs w:val="24"/>
        </w:rPr>
        <w:t xml:space="preserve">Where,  </w:t>
      </w:r>
    </w:p>
    <w:p w:rsidR="00362FD8" w:rsidRDefault="00362FD8" w:rsidP="00362FD8">
      <w:pPr>
        <w:spacing w:after="0" w:line="360" w:lineRule="auto"/>
        <w:jc w:val="center"/>
        <w:rPr>
          <w:rFonts w:ascii="Times New Roman" w:hAnsi="Times New Roman" w:cs="Times New Roman"/>
          <w:color w:val="000000" w:themeColor="text1"/>
          <w:sz w:val="24"/>
          <w:szCs w:val="24"/>
        </w:rPr>
      </w:pPr>
      <m:oMathPara>
        <m:oMath>
          <m:r>
            <w:rPr>
              <w:rFonts w:ascii="Cambria Math" w:hAnsi="Cambria Math" w:cs="Times New Roman"/>
              <w:color w:val="000000" w:themeColor="text1"/>
              <w:sz w:val="24"/>
              <w:szCs w:val="24"/>
            </w:rPr>
            <m:t xml:space="preserve">d = </m:t>
          </m:r>
          <m:f>
            <m:fPr>
              <m:ctrlPr>
                <w:rPr>
                  <w:rFonts w:ascii="Cambria Math" w:hAnsi="Cambria Math" w:cs="Times New Roman"/>
                  <w:i/>
                  <w:color w:val="000000" w:themeColor="text1"/>
                  <w:sz w:val="24"/>
                  <w:szCs w:val="24"/>
                </w:rPr>
              </m:ctrlPr>
            </m:fPr>
            <m:num>
              <m:sSup>
                <m:sSupPr>
                  <m:ctrlPr>
                    <w:rPr>
                      <w:rFonts w:ascii="Cambria Math" w:hAnsi="Cambria Math" w:cs="Times New Roman"/>
                      <w:i/>
                      <w:color w:val="000000" w:themeColor="text1"/>
                      <w:sz w:val="24"/>
                      <w:szCs w:val="24"/>
                    </w:rPr>
                  </m:ctrlPr>
                </m:sSupPr>
                <m:e>
                  <m:d>
                    <m:dPr>
                      <m:ctrlPr>
                        <w:rPr>
                          <w:rFonts w:ascii="Cambria Math" w:hAnsi="Cambria Math" w:cs="Times New Roman"/>
                          <w:i/>
                          <w:color w:val="000000" w:themeColor="text1"/>
                          <w:sz w:val="24"/>
                          <w:szCs w:val="24"/>
                        </w:rPr>
                      </m:ctrlPr>
                    </m:dPr>
                    <m:e>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z</m:t>
                          </m:r>
                        </m:e>
                        <m:sub>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α</m:t>
                              </m:r>
                            </m:num>
                            <m:den>
                              <m:r>
                                <w:rPr>
                                  <w:rFonts w:ascii="Cambria Math" w:hAnsi="Cambria Math" w:cs="Times New Roman"/>
                                  <w:color w:val="000000" w:themeColor="text1"/>
                                  <w:sz w:val="24"/>
                                  <w:szCs w:val="24"/>
                                </w:rPr>
                                <m:t>2</m:t>
                              </m:r>
                            </m:den>
                          </m:f>
                        </m:sub>
                      </m:sSub>
                      <m:r>
                        <w:rPr>
                          <w:rFonts w:ascii="Cambria Math" w:hAnsi="Cambria Math" w:cs="Times New Roman"/>
                          <w:color w:val="000000" w:themeColor="text1"/>
                          <w:sz w:val="24"/>
                          <w:szCs w:val="24"/>
                        </w:rPr>
                        <m:t xml:space="preserve">  + </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z</m:t>
                          </m:r>
                        </m:e>
                        <m:sub>
                          <m:r>
                            <w:rPr>
                              <w:rFonts w:ascii="Cambria Math" w:hAnsi="Cambria Math" w:cs="Times New Roman"/>
                              <w:color w:val="000000" w:themeColor="text1"/>
                              <w:sz w:val="24"/>
                              <w:szCs w:val="24"/>
                            </w:rPr>
                            <m:t>β</m:t>
                          </m:r>
                        </m:sub>
                      </m:sSub>
                    </m:e>
                  </m:d>
                </m:e>
                <m:sup>
                  <m:r>
                    <w:rPr>
                      <w:rFonts w:ascii="Cambria Math" w:hAnsi="Cambria Math" w:cs="Times New Roman"/>
                      <w:color w:val="000000" w:themeColor="text1"/>
                      <w:sz w:val="24"/>
                      <w:szCs w:val="24"/>
                    </w:rPr>
                    <m:t>2</m:t>
                  </m:r>
                </m:sup>
              </m:sSup>
            </m:num>
            <m:den>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π</m:t>
                  </m:r>
                </m:e>
                <m:sub>
                  <m:r>
                    <w:rPr>
                      <w:rFonts w:ascii="Cambria Math" w:hAnsi="Cambria Math" w:cs="Times New Roman"/>
                      <w:color w:val="000000" w:themeColor="text1"/>
                      <w:sz w:val="24"/>
                      <w:szCs w:val="24"/>
                    </w:rPr>
                    <m:t>1</m:t>
                  </m:r>
                </m:sub>
              </m:sSub>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π</m:t>
                  </m:r>
                </m:e>
                <m:sub>
                  <m:r>
                    <w:rPr>
                      <w:rFonts w:ascii="Cambria Math" w:hAnsi="Cambria Math" w:cs="Times New Roman"/>
                      <w:color w:val="000000" w:themeColor="text1"/>
                      <w:sz w:val="24"/>
                      <w:szCs w:val="24"/>
                    </w:rPr>
                    <m:t>2</m:t>
                  </m:r>
                </m:sub>
              </m:sSub>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logHR)</m:t>
                  </m:r>
                </m:e>
                <m:sup>
                  <m:r>
                    <w:rPr>
                      <w:rFonts w:ascii="Cambria Math" w:hAnsi="Cambria Math" w:cs="Times New Roman"/>
                      <w:color w:val="000000" w:themeColor="text1"/>
                      <w:sz w:val="24"/>
                      <w:szCs w:val="24"/>
                    </w:rPr>
                    <m:t>2</m:t>
                  </m:r>
                </m:sup>
              </m:sSup>
            </m:den>
          </m:f>
        </m:oMath>
      </m:oMathPara>
    </w:p>
    <w:p w:rsidR="00362FD8" w:rsidRDefault="00362FD8" w:rsidP="00362FD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Where,</w:t>
      </w:r>
    </w:p>
    <w:p w:rsidR="00362FD8" w:rsidRDefault="00362FD8" w:rsidP="00362FD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 = is the required number of HIV/AIDS patients to be included in this study, </w:t>
      </w:r>
    </w:p>
    <w:p w:rsidR="00362FD8" w:rsidRDefault="00362FD8" w:rsidP="00362FD8">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 = the required number of events in a study, and p = the probability of an event occurring.  </w:t>
      </w:r>
    </w:p>
    <w:p w:rsidR="00362FD8" w:rsidRDefault="00362FD8" w:rsidP="00362FD8">
      <w:pPr>
        <w:spacing w:after="0" w:line="360" w:lineRule="auto"/>
        <w:jc w:val="both"/>
        <w:rPr>
          <w:rFonts w:ascii="Times New Roman" w:hAnsi="Times New Roman" w:cs="Times New Roman"/>
          <w:color w:val="000000" w:themeColor="text1"/>
          <w:sz w:val="24"/>
          <w:szCs w:val="24"/>
        </w:rPr>
      </w:pP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z</m:t>
            </m:r>
          </m:e>
          <m:sub>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α</m:t>
                </m:r>
              </m:num>
              <m:den>
                <m:r>
                  <w:rPr>
                    <w:rFonts w:ascii="Cambria Math" w:hAnsi="Cambria Math" w:cs="Times New Roman"/>
                    <w:color w:val="000000" w:themeColor="text1"/>
                    <w:sz w:val="24"/>
                    <w:szCs w:val="24"/>
                  </w:rPr>
                  <m:t>2</m:t>
                </m:r>
              </m:den>
            </m:f>
          </m:sub>
        </m:sSub>
        <m:r>
          <w:rPr>
            <w:rFonts w:ascii="Cambria Math" w:hAnsi="Cambria Math" w:cs="Times New Roman"/>
            <w:color w:val="000000" w:themeColor="text1"/>
            <w:sz w:val="24"/>
            <w:szCs w:val="24"/>
          </w:rPr>
          <m:t xml:space="preserve"> </m:t>
        </m:r>
      </m:oMath>
      <w:r>
        <w:rPr>
          <w:rFonts w:ascii="Times New Roman" w:eastAsiaTheme="minorEastAsia" w:hAnsi="Times New Roman" w:cs="Times New Roman"/>
          <w:color w:val="000000" w:themeColor="text1"/>
          <w:sz w:val="24"/>
          <w:szCs w:val="24"/>
        </w:rPr>
        <w:t xml:space="preserve">= </w:t>
      </w:r>
      <w:r>
        <w:rPr>
          <w:rFonts w:ascii="Times New Roman" w:hAnsi="Times New Roman" w:cs="Times New Roman"/>
          <w:color w:val="000000" w:themeColor="text1"/>
          <w:sz w:val="24"/>
          <w:szCs w:val="24"/>
        </w:rPr>
        <w:t>is the level of 5% significance testing to take the value 1.96</w:t>
      </w:r>
    </w:p>
    <w:p w:rsidR="00362FD8" w:rsidRDefault="00362FD8" w:rsidP="00362FD8">
      <w:pPr>
        <w:spacing w:after="0" w:line="360" w:lineRule="auto"/>
        <w:jc w:val="both"/>
        <w:rPr>
          <w:rFonts w:ascii="Times New Roman" w:hAnsi="Times New Roman" w:cs="Times New Roman"/>
          <w:color w:val="000000" w:themeColor="text1"/>
          <w:sz w:val="24"/>
          <w:szCs w:val="24"/>
        </w:rPr>
      </w:pP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z</m:t>
            </m:r>
          </m:e>
          <m:sub>
            <m:r>
              <w:rPr>
                <w:rFonts w:ascii="Cambria Math" w:hAnsi="Cambria Math" w:cs="Times New Roman"/>
                <w:color w:val="000000" w:themeColor="text1"/>
                <w:sz w:val="24"/>
                <w:szCs w:val="24"/>
              </w:rPr>
              <m:t>β</m:t>
            </m:r>
          </m:sub>
        </m:sSub>
      </m:oMath>
      <w:r>
        <w:rPr>
          <w:rFonts w:ascii="Times New Roman" w:eastAsiaTheme="minorEastAsia" w:hAnsi="Times New Roman" w:cs="Times New Roman"/>
          <w:color w:val="000000" w:themeColor="text1"/>
          <w:sz w:val="24"/>
          <w:szCs w:val="24"/>
        </w:rPr>
        <w:t xml:space="preserve"> = </w:t>
      </w:r>
      <w:r>
        <w:rPr>
          <w:rFonts w:ascii="Times New Roman" w:hAnsi="Times New Roman" w:cs="Times New Roman"/>
          <w:color w:val="000000" w:themeColor="text1"/>
          <w:sz w:val="24"/>
          <w:szCs w:val="24"/>
        </w:rPr>
        <w:t>is the statistical power of the test to take 90%, and it obtained values from a standard normal distribution equal to 1.282.</w:t>
      </w:r>
    </w:p>
    <w:p w:rsidR="00362FD8" w:rsidRDefault="00362FD8" w:rsidP="00362FD8">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[11], the sample size was determined by taking the mortality rates in two groups of HIV positives on ART based on their WHO clinical stage as exposure status. Where the hazard ratio (HR) of exposures is 7.36, the proportion of exposed groups (WHO</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π</m:t>
            </m:r>
          </m:e>
          <m:sub>
            <m:r>
              <w:rPr>
                <w:rFonts w:ascii="Cambria Math" w:hAnsi="Cambria Math" w:cs="Times New Roman"/>
                <w:color w:val="000000" w:themeColor="text1"/>
                <w:sz w:val="24"/>
                <w:szCs w:val="24"/>
              </w:rPr>
              <m:t>1</m:t>
            </m:r>
          </m:sub>
        </m:sSub>
      </m:oMath>
      <w:r>
        <w:rPr>
          <w:rFonts w:ascii="Times New Roman" w:eastAsia="Times New Roman" w:hAnsi="Times New Roman" w:cs="Times New Roman"/>
          <w:sz w:val="24"/>
          <w:szCs w:val="24"/>
        </w:rPr>
        <w:t xml:space="preserve"> stage IV) is 0.84, and the proportion of non-exposed groups (WHO</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π</m:t>
            </m:r>
          </m:e>
          <m:sub>
            <m:r>
              <w:rPr>
                <w:rFonts w:ascii="Cambria Math" w:hAnsi="Cambria Math" w:cs="Times New Roman"/>
                <w:color w:val="000000" w:themeColor="text1"/>
                <w:sz w:val="24"/>
                <w:szCs w:val="24"/>
              </w:rPr>
              <m:t>2</m:t>
            </m:r>
          </m:sub>
        </m:sSub>
      </m:oMath>
      <w:r>
        <w:rPr>
          <w:rFonts w:ascii="Times New Roman" w:eastAsia="Times New Roman" w:hAnsi="Times New Roman" w:cs="Times New Roman"/>
          <w:sz w:val="24"/>
          <w:szCs w:val="24"/>
        </w:rPr>
        <w:t xml:space="preserve"> stages II and III) is 0.16. Therefore,</w:t>
      </w:r>
    </w:p>
    <w:p w:rsidR="00362FD8" w:rsidRDefault="00362FD8" w:rsidP="00362FD8">
      <w:pPr>
        <w:spacing w:after="0" w:line="360" w:lineRule="auto"/>
        <w:jc w:val="both"/>
        <w:rPr>
          <w:rFonts w:ascii="Times New Roman" w:eastAsiaTheme="minorEastAsia" w:hAnsi="Times New Roman" w:cs="Times New Roman"/>
          <w:color w:val="000000" w:themeColor="text1"/>
          <w:sz w:val="24"/>
          <w:szCs w:val="24"/>
        </w:rPr>
      </w:pPr>
      <m:oMathPara>
        <m:oMath>
          <m:r>
            <w:rPr>
              <w:rFonts w:ascii="Cambria Math" w:hAnsi="Cambria Math" w:cs="Times New Roman"/>
              <w:color w:val="000000" w:themeColor="text1"/>
              <w:sz w:val="24"/>
              <w:szCs w:val="24"/>
            </w:rPr>
            <m:t xml:space="preserve">d = </m:t>
          </m:r>
          <m:f>
            <m:fPr>
              <m:ctrlPr>
                <w:rPr>
                  <w:rFonts w:ascii="Cambria Math" w:hAnsi="Cambria Math" w:cs="Times New Roman"/>
                  <w:i/>
                  <w:color w:val="000000" w:themeColor="text1"/>
                  <w:sz w:val="24"/>
                  <w:szCs w:val="24"/>
                </w:rPr>
              </m:ctrlPr>
            </m:fPr>
            <m:num>
              <m:sSup>
                <m:sSupPr>
                  <m:ctrlPr>
                    <w:rPr>
                      <w:rFonts w:ascii="Cambria Math" w:hAnsi="Cambria Math" w:cs="Times New Roman"/>
                      <w:i/>
                      <w:color w:val="000000" w:themeColor="text1"/>
                      <w:sz w:val="24"/>
                      <w:szCs w:val="24"/>
                    </w:rPr>
                  </m:ctrlPr>
                </m:sSupPr>
                <m:e>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1.96+ 1.28</m:t>
                      </m:r>
                    </m:e>
                  </m:d>
                </m:e>
                <m:sup>
                  <m:r>
                    <w:rPr>
                      <w:rFonts w:ascii="Cambria Math" w:hAnsi="Cambria Math" w:cs="Times New Roman"/>
                      <w:color w:val="000000" w:themeColor="text1"/>
                      <w:sz w:val="24"/>
                      <w:szCs w:val="24"/>
                    </w:rPr>
                    <m:t>2</m:t>
                  </m:r>
                </m:sup>
              </m:sSup>
            </m:num>
            <m:den>
              <m:r>
                <w:rPr>
                  <w:rFonts w:ascii="Cambria Math" w:hAnsi="Cambria Math" w:cs="Times New Roman"/>
                  <w:color w:val="000000" w:themeColor="text1"/>
                  <w:sz w:val="24"/>
                  <w:szCs w:val="24"/>
                </w:rPr>
                <m:t>0.84*0.16(</m:t>
              </m:r>
              <m:sSup>
                <m:sSupPr>
                  <m:ctrlPr>
                    <w:rPr>
                      <w:rFonts w:ascii="Cambria Math" w:hAnsi="Cambria Math" w:cs="Times New Roman"/>
                      <w:i/>
                      <w:color w:val="000000" w:themeColor="text1"/>
                      <w:sz w:val="24"/>
                      <w:szCs w:val="24"/>
                    </w:rPr>
                  </m:ctrlPr>
                </m:sSupPr>
                <m:e>
                  <m:r>
                    <m:rPr>
                      <m:sty m:val="p"/>
                    </m:rPr>
                    <w:rPr>
                      <w:rFonts w:ascii="Cambria Math" w:hAnsi="Cambria Math" w:cs="Times New Roman"/>
                      <w:color w:val="000000" w:themeColor="text1"/>
                      <w:sz w:val="24"/>
                      <w:szCs w:val="24"/>
                    </w:rPr>
                    <m:t>log⁡</m:t>
                  </m:r>
                  <m:r>
                    <w:rPr>
                      <w:rFonts w:ascii="Cambria Math" w:hAnsi="Cambria Math" w:cs="Times New Roman"/>
                      <w:color w:val="000000" w:themeColor="text1"/>
                      <w:sz w:val="24"/>
                      <w:szCs w:val="24"/>
                    </w:rPr>
                    <m:t>(7.36))</m:t>
                  </m:r>
                </m:e>
                <m:sup>
                  <m:r>
                    <w:rPr>
                      <w:rFonts w:ascii="Cambria Math" w:hAnsi="Cambria Math" w:cs="Times New Roman"/>
                      <w:color w:val="000000" w:themeColor="text1"/>
                      <w:sz w:val="24"/>
                      <w:szCs w:val="24"/>
                    </w:rPr>
                    <m:t>2</m:t>
                  </m:r>
                </m:sup>
              </m:sSup>
            </m:den>
          </m:f>
          <m:r>
            <w:rPr>
              <w:rFonts w:ascii="Cambria Math" w:hAnsi="Cambria Math" w:cs="Times New Roman"/>
              <w:color w:val="000000" w:themeColor="text1"/>
              <w:sz w:val="24"/>
              <w:szCs w:val="24"/>
            </w:rPr>
            <m:t xml:space="preserve">  </m:t>
          </m:r>
          <m:r>
            <w:rPr>
              <w:rFonts w:ascii="Cambria Math" w:eastAsiaTheme="minorEastAsia" w:hAnsi="Cambria Math" w:cs="Times New Roman"/>
              <w:color w:val="000000" w:themeColor="text1"/>
              <w:sz w:val="24"/>
              <w:szCs w:val="24"/>
            </w:rPr>
            <m:t>≅</m:t>
          </m:r>
          <m:r>
            <w:rPr>
              <w:rFonts w:ascii="Cambria Math" w:hAnsi="Cambria Math" w:cs="Times New Roman"/>
              <w:color w:val="000000" w:themeColor="text1"/>
              <w:sz w:val="24"/>
              <w:szCs w:val="24"/>
            </w:rPr>
            <m:t xml:space="preserve">104 </m:t>
          </m:r>
        </m:oMath>
      </m:oMathPara>
    </w:p>
    <w:p w:rsidR="00362FD8" w:rsidRDefault="00362FD8" w:rsidP="00362FD8">
      <w:pPr>
        <w:spacing w:after="0" w:line="360" w:lineRule="auto"/>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and</w:t>
      </w:r>
      <w:proofErr w:type="gramEnd"/>
      <w:r>
        <w:rPr>
          <w:rFonts w:ascii="Times New Roman" w:hAnsi="Times New Roman" w:cs="Times New Roman"/>
          <w:color w:val="000000" w:themeColor="text1"/>
          <w:sz w:val="24"/>
          <w:szCs w:val="24"/>
        </w:rPr>
        <w:t xml:space="preserve"> also the probability of death was 35.5%. </w:t>
      </w:r>
      <w:proofErr w:type="gramStart"/>
      <w:r>
        <w:rPr>
          <w:rFonts w:ascii="Times New Roman" w:hAnsi="Times New Roman" w:cs="Times New Roman"/>
          <w:color w:val="000000" w:themeColor="text1"/>
          <w:sz w:val="24"/>
          <w:szCs w:val="24"/>
        </w:rPr>
        <w:t>then</w:t>
      </w:r>
      <w:proofErr w:type="gramEnd"/>
      <w:r>
        <w:rPr>
          <w:rFonts w:ascii="Times New Roman" w:hAnsi="Times New Roman" w:cs="Times New Roman"/>
          <w:color w:val="000000" w:themeColor="text1"/>
          <w:sz w:val="24"/>
          <w:szCs w:val="24"/>
        </w:rPr>
        <w:t xml:space="preserve">,  </w:t>
      </w:r>
    </w:p>
    <w:p w:rsidR="00362FD8" w:rsidRDefault="00362FD8" w:rsidP="00362FD8">
      <w:pPr>
        <w:spacing w:after="0" w:line="360" w:lineRule="auto"/>
        <w:jc w:val="both"/>
        <w:rPr>
          <w:rFonts w:ascii="Times New Roman" w:eastAsiaTheme="minorEastAsia" w:hAnsi="Times New Roman" w:cs="Times New Roman"/>
          <w:bCs/>
          <w:color w:val="000000" w:themeColor="text1"/>
          <w:sz w:val="24"/>
          <w:szCs w:val="24"/>
        </w:rPr>
      </w:pPr>
      <m:oMathPara>
        <m:oMath>
          <m:r>
            <w:rPr>
              <w:rFonts w:ascii="Cambria Math" w:hAnsi="Cambria Math" w:cs="Times New Roman"/>
              <w:color w:val="000000" w:themeColor="text1"/>
              <w:sz w:val="24"/>
              <w:szCs w:val="24"/>
            </w:rPr>
            <m:t xml:space="preserve">n= </m:t>
          </m:r>
          <m:f>
            <m:fPr>
              <m:ctrlPr>
                <w:rPr>
                  <w:rFonts w:ascii="Cambria Math" w:hAnsi="Cambria Math" w:cs="Times New Roman"/>
                  <w:bCs/>
                  <w:i/>
                  <w:color w:val="000000" w:themeColor="text1"/>
                  <w:sz w:val="24"/>
                  <w:szCs w:val="24"/>
                </w:rPr>
              </m:ctrlPr>
            </m:fPr>
            <m:num>
              <m:r>
                <w:rPr>
                  <w:rFonts w:ascii="Cambria Math" w:hAnsi="Cambria Math" w:cs="Times New Roman"/>
                  <w:color w:val="000000" w:themeColor="text1"/>
                  <w:sz w:val="24"/>
                  <w:szCs w:val="24"/>
                </w:rPr>
                <m:t>104</m:t>
              </m:r>
            </m:num>
            <m:den>
              <m:r>
                <w:rPr>
                  <w:rFonts w:ascii="Cambria Math" w:hAnsi="Cambria Math" w:cs="Times New Roman"/>
                  <w:color w:val="000000" w:themeColor="text1"/>
                  <w:sz w:val="24"/>
                  <w:szCs w:val="24"/>
                </w:rPr>
                <m:t>0.355</m:t>
              </m:r>
            </m:den>
          </m:f>
          <m:r>
            <w:rPr>
              <w:rFonts w:ascii="Cambria Math" w:hAnsi="Cambria Math" w:cs="Times New Roman"/>
              <w:color w:val="000000" w:themeColor="text1"/>
              <w:sz w:val="24"/>
              <w:szCs w:val="24"/>
            </w:rPr>
            <m:t xml:space="preserve">  </m:t>
          </m:r>
          <m:r>
            <w:rPr>
              <w:rFonts w:ascii="Cambria Math" w:eastAsiaTheme="minorEastAsia" w:hAnsi="Cambria Math" w:cs="Times New Roman"/>
              <w:color w:val="000000" w:themeColor="text1"/>
              <w:sz w:val="24"/>
              <w:szCs w:val="24"/>
            </w:rPr>
            <m:t>≅293</m:t>
          </m:r>
          <m:r>
            <w:rPr>
              <w:rFonts w:ascii="Cambria Math" w:hAnsi="Cambria Math" w:cs="Times New Roman"/>
              <w:color w:val="000000" w:themeColor="text1"/>
              <w:sz w:val="24"/>
              <w:szCs w:val="24"/>
            </w:rPr>
            <m:t xml:space="preserve">  </m:t>
          </m:r>
        </m:oMath>
      </m:oMathPara>
    </w:p>
    <w:p w:rsidR="00362FD8" w:rsidRDefault="00362FD8" w:rsidP="00362FD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Then, the sample size for this current study has become 293 HIV/AIDS-positive subjects by considering inclusion criteria.</w:t>
      </w:r>
    </w:p>
    <w:p w:rsidR="00A031C6" w:rsidRDefault="00A031C6"/>
    <w:sectPr w:rsidR="00A031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15A"/>
    <w:rsid w:val="001C115A"/>
    <w:rsid w:val="00362FD8"/>
    <w:rsid w:val="00A03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FD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FD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221</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dc:creator>
  <cp:lastModifiedBy>MAR</cp:lastModifiedBy>
  <cp:revision>2</cp:revision>
  <dcterms:created xsi:type="dcterms:W3CDTF">2024-07-11T06:09:00Z</dcterms:created>
  <dcterms:modified xsi:type="dcterms:W3CDTF">2024-07-11T06:09:00Z</dcterms:modified>
</cp:coreProperties>
</file>