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626"/>
        <w:tblW w:w="9331" w:type="dxa"/>
        <w:tblLook w:val="04A0" w:firstRow="1" w:lastRow="0" w:firstColumn="1" w:lastColumn="0" w:noHBand="0" w:noVBand="1"/>
      </w:tblPr>
      <w:tblGrid>
        <w:gridCol w:w="2231"/>
        <w:gridCol w:w="226"/>
        <w:gridCol w:w="787"/>
        <w:gridCol w:w="787"/>
        <w:gridCol w:w="830"/>
        <w:gridCol w:w="229"/>
        <w:gridCol w:w="487"/>
        <w:gridCol w:w="229"/>
        <w:gridCol w:w="740"/>
        <w:gridCol w:w="229"/>
        <w:gridCol w:w="856"/>
        <w:gridCol w:w="828"/>
        <w:gridCol w:w="872"/>
      </w:tblGrid>
      <w:tr w:rsidR="00D0550F" w:rsidTr="009350BD">
        <w:trPr>
          <w:trHeight w:val="975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601CD1" w:rsidP="00601CD1">
            <w:r>
              <w:t>Variable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B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S.E.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601CD1" w:rsidP="00601CD1">
            <w:r>
              <w:t>Wald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Df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Sig.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proofErr w:type="spellStart"/>
            <w:r>
              <w:t>Exp</w:t>
            </w:r>
            <w:proofErr w:type="spellEnd"/>
            <w:r>
              <w:t>(B)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95% C.I. Lower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95% C.I. Upper</w:t>
            </w:r>
          </w:p>
        </w:tc>
      </w:tr>
      <w:tr w:rsidR="00D0550F" w:rsidTr="009350BD">
        <w:trPr>
          <w:trHeight w:val="315"/>
        </w:trPr>
        <w:tc>
          <w:tcPr>
            <w:tcW w:w="2241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>
            <w:r>
              <w:t>Residence(</w:t>
            </w:r>
            <w:r w:rsidR="004C7BBA">
              <w:t>Urban</w:t>
            </w:r>
            <w:r>
              <w:t>)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0.610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0.220</w:t>
            </w: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D0550F" w:rsidP="00601CD1">
            <w:r>
              <w:t>7.713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1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744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0.005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6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1.84</w:t>
            </w:r>
            <w:r w:rsidR="00601CD1">
              <w:t>0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1.197</w:t>
            </w: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2.831</w:t>
            </w:r>
          </w:p>
        </w:tc>
      </w:tr>
      <w:tr w:rsidR="00D0550F" w:rsidTr="009350BD">
        <w:tc>
          <w:tcPr>
            <w:tcW w:w="2241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>
            <w:proofErr w:type="spellStart"/>
            <w:r>
              <w:t>Educstatus</w:t>
            </w:r>
            <w:proofErr w:type="spellEnd"/>
            <w:r>
              <w:t>(</w:t>
            </w:r>
            <w:r w:rsidR="004C7BBA">
              <w:t>Primary</w:t>
            </w:r>
            <w:r>
              <w:t>)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0.837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0.254</w:t>
            </w: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>
            <w:r>
              <w:t>1</w:t>
            </w:r>
            <w:r w:rsidR="00D0550F">
              <w:t>0.840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1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744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0.001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6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2.310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1.403</w:t>
            </w: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3.802</w:t>
            </w:r>
          </w:p>
        </w:tc>
      </w:tr>
      <w:tr w:rsidR="00D0550F" w:rsidTr="009350BD">
        <w:trPr>
          <w:trHeight w:val="375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601CD1" w:rsidP="00601CD1">
            <w:proofErr w:type="spellStart"/>
            <w:r>
              <w:t>Educstatus</w:t>
            </w:r>
            <w:proofErr w:type="spellEnd"/>
            <w:r>
              <w:t>(</w:t>
            </w:r>
            <w:r w:rsidR="004C7BBA">
              <w:t>Secondary and above</w:t>
            </w:r>
            <w:r>
              <w:t>)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0.668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0.268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D0550F" w:rsidP="00601CD1">
            <w:r>
              <w:t>6.224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1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0.013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1.949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0550F" w:rsidP="00601CD1">
            <w:r>
              <w:t>1.154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959ED" w:rsidP="00601CD1">
            <w:r>
              <w:t>3.294</w:t>
            </w:r>
          </w:p>
        </w:tc>
      </w:tr>
      <w:tr w:rsidR="00D0550F" w:rsidTr="009350BD">
        <w:trPr>
          <w:trHeight w:val="390"/>
        </w:trPr>
        <w:tc>
          <w:tcPr>
            <w:tcW w:w="2241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>
            <w:r>
              <w:t>OI(</w:t>
            </w:r>
            <w:r w:rsidR="004C7BBA">
              <w:t>Yes</w:t>
            </w:r>
            <w:r>
              <w:t>)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0</w:t>
            </w:r>
            <w:r w:rsidR="00D959ED">
              <w:t>.992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D959ED" w:rsidP="00601CD1">
            <w:r>
              <w:t>0.330</w:t>
            </w: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D959ED" w:rsidP="00601CD1">
            <w:r>
              <w:t>9.006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1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744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D959ED" w:rsidP="00601CD1">
            <w:r>
              <w:t>0.003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6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F74728" w:rsidP="00601CD1">
            <w:r>
              <w:t>2.696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F74728" w:rsidP="00601CD1">
            <w:r>
              <w:t>1.411</w:t>
            </w: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F74728" w:rsidP="00601CD1">
            <w:r>
              <w:t>5.152</w:t>
            </w:r>
          </w:p>
        </w:tc>
      </w:tr>
      <w:tr w:rsidR="00D0550F" w:rsidTr="009350BD">
        <w:trPr>
          <w:trHeight w:val="300"/>
        </w:trPr>
        <w:tc>
          <w:tcPr>
            <w:tcW w:w="2241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>
            <w:r>
              <w:t>CPT(</w:t>
            </w:r>
            <w:r w:rsidR="004C7BBA">
              <w:t>Yes</w:t>
            </w:r>
            <w:r>
              <w:t>)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0.054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0.346</w:t>
            </w: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5561B0" w:rsidP="00601CD1">
            <w:r>
              <w:t>0.024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1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744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0.87</w:t>
            </w:r>
            <w:r w:rsidR="00601CD1">
              <w:t>7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6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1.055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0.535</w:t>
            </w: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2.081</w:t>
            </w:r>
          </w:p>
        </w:tc>
      </w:tr>
      <w:tr w:rsidR="00D0550F" w:rsidTr="009350BD">
        <w:trPr>
          <w:trHeight w:val="375"/>
        </w:trPr>
        <w:tc>
          <w:tcPr>
            <w:tcW w:w="2241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>
            <w:r>
              <w:t>INH(</w:t>
            </w:r>
            <w:r w:rsidR="004C7BBA">
              <w:t>Yes</w:t>
            </w:r>
            <w:r>
              <w:t>)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0.757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0.547</w:t>
            </w: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5561B0" w:rsidP="00601CD1">
            <w:r>
              <w:t>1.913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1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744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0.167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6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2.131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0.729</w:t>
            </w: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6.227</w:t>
            </w:r>
          </w:p>
        </w:tc>
      </w:tr>
      <w:tr w:rsidR="00D0550F" w:rsidTr="009350BD">
        <w:trPr>
          <w:trHeight w:val="315"/>
        </w:trPr>
        <w:tc>
          <w:tcPr>
            <w:tcW w:w="2241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>
            <w:proofErr w:type="spellStart"/>
            <w:r>
              <w:t>HemogCat</w:t>
            </w:r>
            <w:proofErr w:type="spellEnd"/>
            <w:r>
              <w:t>(</w:t>
            </w:r>
            <w:r w:rsidR="004C7BBA">
              <w:t>Normal</w:t>
            </w:r>
            <w:r>
              <w:t>)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2.487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1.073</w:t>
            </w: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5561B0" w:rsidP="00601CD1">
            <w:r>
              <w:t>5.366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1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744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0.021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6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12.020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1.466</w:t>
            </w: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5561B0" w:rsidP="00601CD1">
            <w:r>
              <w:t>98.540</w:t>
            </w:r>
          </w:p>
        </w:tc>
      </w:tr>
      <w:tr w:rsidR="00D0550F" w:rsidTr="009350BD">
        <w:tc>
          <w:tcPr>
            <w:tcW w:w="2241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>
            <w:r>
              <w:t>Constant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9350BD" w:rsidP="00601CD1">
            <w:r>
              <w:t>-0.077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9350BD" w:rsidP="00601CD1">
            <w:r>
              <w:t>0.02</w:t>
            </w:r>
            <w:r w:rsidR="00601CD1">
              <w:t>8</w:t>
            </w: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9350BD" w:rsidP="00601CD1">
            <w:r>
              <w:t>7.563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>
            <w:r>
              <w:t>1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744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C440F8" w:rsidP="00601CD1">
            <w:r>
              <w:t>0.038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</w:tcPr>
          <w:p w:rsidR="00601CD1" w:rsidRDefault="00601CD1" w:rsidP="00601CD1"/>
        </w:tc>
        <w:tc>
          <w:tcPr>
            <w:tcW w:w="861" w:type="dxa"/>
            <w:tcBorders>
              <w:bottom w:val="single" w:sz="4" w:space="0" w:color="auto"/>
              <w:right w:val="single" w:sz="4" w:space="0" w:color="auto"/>
            </w:tcBorders>
          </w:tcPr>
          <w:p w:rsidR="00601CD1" w:rsidRDefault="00C440F8" w:rsidP="00601CD1">
            <w:r>
              <w:t>.926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/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D1" w:rsidRDefault="00601CD1" w:rsidP="00601CD1"/>
        </w:tc>
      </w:tr>
    </w:tbl>
    <w:p w:rsidR="00601CD1" w:rsidRDefault="002B26A6" w:rsidP="008C3C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>
        <w:rPr>
          <w:rFonts w:ascii="Times New Roman" w:hAnsi="Times New Roman" w:cs="Times New Roman"/>
          <w:color w:val="131413"/>
          <w:sz w:val="24"/>
          <w:szCs w:val="24"/>
        </w:rPr>
        <w:t xml:space="preserve">Table </w:t>
      </w:r>
      <w:r w:rsidR="00601CD1">
        <w:rPr>
          <w:rFonts w:ascii="Times New Roman" w:hAnsi="Times New Roman" w:cs="Times New Roman"/>
          <w:color w:val="131413"/>
          <w:sz w:val="24"/>
          <w:szCs w:val="24"/>
        </w:rPr>
        <w:t xml:space="preserve">1: </w:t>
      </w:r>
      <w:r w:rsidR="00601CD1" w:rsidRPr="00436F4A">
        <w:rPr>
          <w:rFonts w:ascii="Times New Roman" w:hAnsi="Times New Roman" w:cs="Times New Roman"/>
          <w:color w:val="000000"/>
          <w:sz w:val="24"/>
          <w:szCs w:val="24"/>
        </w:rPr>
        <w:t>Results of binary logistic regression model fit for selected</w:t>
      </w:r>
      <w:r w:rsidR="00601CD1" w:rsidRPr="00614DD2">
        <w:rPr>
          <w:rFonts w:ascii="Times New Roman" w:hAnsi="Times New Roman" w:cs="Times New Roman"/>
          <w:color w:val="000000"/>
          <w:sz w:val="24"/>
          <w:szCs w:val="24"/>
        </w:rPr>
        <w:t xml:space="preserve"> variables</w:t>
      </w:r>
      <w:r w:rsidR="00601CD1">
        <w:rPr>
          <w:rFonts w:ascii="Times New Roman" w:hAnsi="Times New Roman" w:cs="Times New Roman"/>
          <w:color w:val="000000"/>
          <w:sz w:val="24"/>
          <w:szCs w:val="24"/>
        </w:rPr>
        <w:t xml:space="preserve"> without interaction term</w:t>
      </w:r>
      <w:r w:rsidR="00601CD1" w:rsidRPr="00614DD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3CAF" w:rsidRPr="001E3063" w:rsidRDefault="008C3CAF" w:rsidP="008C3C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1E3063">
        <w:rPr>
          <w:rFonts w:ascii="Times New Roman" w:hAnsi="Times New Roman" w:cs="Times New Roman"/>
          <w:color w:val="131413"/>
          <w:sz w:val="24"/>
          <w:szCs w:val="24"/>
        </w:rPr>
        <w:t xml:space="preserve">Interpretation of logistic regression coefficients </w:t>
      </w:r>
    </w:p>
    <w:p w:rsidR="008C3CAF" w:rsidRDefault="008C3CAF" w:rsidP="008C3C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>
        <w:rPr>
          <w:rFonts w:ascii="Times New Roman" w:hAnsi="Times New Roman" w:cs="Times New Roman"/>
          <w:color w:val="131413"/>
          <w:sz w:val="24"/>
          <w:szCs w:val="24"/>
        </w:rPr>
        <w:t>A</w:t>
      </w:r>
      <w:r w:rsidRPr="0008386F">
        <w:rPr>
          <w:rFonts w:ascii="Times New Roman" w:hAnsi="Times New Roman" w:cs="Times New Roman"/>
          <w:color w:val="131413"/>
          <w:sz w:val="24"/>
          <w:szCs w:val="24"/>
        </w:rPr>
        <w:t xml:space="preserve"> logistic model was fitted to the data to test the research hypothesis regarding the relationship between the likelihood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that CD4 level</w:t>
      </w:r>
      <w:r w:rsidRPr="0008386F">
        <w:rPr>
          <w:rFonts w:ascii="Times New Roman" w:hAnsi="Times New Roman" w:cs="Times New Roman"/>
          <w:color w:val="131413"/>
          <w:sz w:val="24"/>
          <w:szCs w:val="24"/>
        </w:rPr>
        <w:t xml:space="preserve"> is related with the predictor variables. Result displayed in </w:t>
      </w:r>
      <w:bookmarkStart w:id="0" w:name="_GoBack"/>
      <w:r w:rsidRPr="00FC3F37">
        <w:rPr>
          <w:rFonts w:ascii="Times New Roman" w:hAnsi="Times New Roman" w:cs="Times New Roman"/>
          <w:b/>
          <w:color w:val="131413"/>
          <w:sz w:val="24"/>
          <w:szCs w:val="24"/>
        </w:rPr>
        <w:t xml:space="preserve">Table </w:t>
      </w:r>
      <w:r w:rsidR="00601CD1" w:rsidRPr="00FC3F37">
        <w:rPr>
          <w:rFonts w:ascii="Times New Roman" w:hAnsi="Times New Roman" w:cs="Times New Roman"/>
          <w:b/>
          <w:color w:val="131413"/>
          <w:sz w:val="24"/>
          <w:szCs w:val="24"/>
        </w:rPr>
        <w:t>1</w:t>
      </w:r>
      <w:r w:rsidRPr="0008386F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bookmarkEnd w:id="0"/>
      <w:r w:rsidRPr="0008386F">
        <w:rPr>
          <w:rFonts w:ascii="Times New Roman" w:hAnsi="Times New Roman" w:cs="Times New Roman"/>
          <w:color w:val="131413"/>
          <w:sz w:val="24"/>
          <w:szCs w:val="24"/>
        </w:rPr>
        <w:t>r</w:t>
      </w:r>
      <w:r>
        <w:rPr>
          <w:rFonts w:ascii="Times New Roman" w:hAnsi="Times New Roman" w:cs="Times New Roman"/>
          <w:color w:val="131413"/>
          <w:sz w:val="24"/>
          <w:szCs w:val="24"/>
        </w:rPr>
        <w:t>evealed that residence</w:t>
      </w:r>
      <w:r w:rsidRPr="0008386F">
        <w:rPr>
          <w:rFonts w:ascii="Times New Roman" w:hAnsi="Times New Roman" w:cs="Times New Roman"/>
          <w:color w:val="13141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education status, OI drugs, and Haemoglobin level </w:t>
      </w:r>
      <w:r w:rsidRPr="0008386F">
        <w:rPr>
          <w:rFonts w:ascii="Times New Roman" w:hAnsi="Times New Roman" w:cs="Times New Roman"/>
          <w:color w:val="131413"/>
          <w:sz w:val="24"/>
          <w:szCs w:val="24"/>
        </w:rPr>
        <w:t>were found to be significantly associa</w:t>
      </w:r>
      <w:r>
        <w:rPr>
          <w:rFonts w:ascii="Times New Roman" w:hAnsi="Times New Roman" w:cs="Times New Roman"/>
          <w:color w:val="131413"/>
          <w:sz w:val="24"/>
          <w:szCs w:val="24"/>
        </w:rPr>
        <w:t>ted with CD4 level.</w:t>
      </w:r>
    </w:p>
    <w:p w:rsidR="004E5BC5" w:rsidRDefault="008C3CAF" w:rsidP="008C3C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83A">
        <w:rPr>
          <w:rFonts w:ascii="Times New Roman" w:hAnsi="Times New Roman" w:cs="Times New Roman"/>
          <w:sz w:val="24"/>
          <w:szCs w:val="24"/>
        </w:rPr>
        <w:t>Patient</w:t>
      </w:r>
      <w:r w:rsidR="002B26A6">
        <w:rPr>
          <w:rFonts w:ascii="Times New Roman" w:hAnsi="Times New Roman" w:cs="Times New Roman"/>
          <w:sz w:val="24"/>
          <w:szCs w:val="24"/>
        </w:rPr>
        <w:t>s living in urban areas had 1.84</w:t>
      </w:r>
      <w:r w:rsidR="00024BFC">
        <w:rPr>
          <w:rFonts w:ascii="Times New Roman" w:hAnsi="Times New Roman" w:cs="Times New Roman"/>
          <w:sz w:val="24"/>
          <w:szCs w:val="24"/>
        </w:rPr>
        <w:t>0</w:t>
      </w:r>
      <w:r w:rsidRPr="00FD583A">
        <w:rPr>
          <w:rFonts w:ascii="Times New Roman" w:hAnsi="Times New Roman" w:cs="Times New Roman"/>
          <w:sz w:val="24"/>
          <w:szCs w:val="24"/>
        </w:rPr>
        <w:t xml:space="preserve"> higher odds of CD4 improvement compar</w:t>
      </w:r>
      <w:r w:rsidR="002B26A6">
        <w:rPr>
          <w:rFonts w:ascii="Times New Roman" w:hAnsi="Times New Roman" w:cs="Times New Roman"/>
          <w:sz w:val="24"/>
          <w:szCs w:val="24"/>
        </w:rPr>
        <w:t>ed to rural residents (p = 0.005</w:t>
      </w:r>
      <w:r w:rsidRPr="00FD583A">
        <w:rPr>
          <w:rFonts w:ascii="Times New Roman" w:hAnsi="Times New Roman" w:cs="Times New Roman"/>
          <w:sz w:val="24"/>
          <w:szCs w:val="24"/>
        </w:rPr>
        <w:t>), and those with</w:t>
      </w:r>
      <w:r w:rsidR="002B26A6">
        <w:rPr>
          <w:rFonts w:ascii="Times New Roman" w:hAnsi="Times New Roman" w:cs="Times New Roman"/>
          <w:sz w:val="24"/>
          <w:szCs w:val="24"/>
        </w:rPr>
        <w:t xml:space="preserve"> primary education (OR = 2.310, p = 0.001</w:t>
      </w:r>
      <w:r w:rsidRPr="00FD583A">
        <w:rPr>
          <w:rFonts w:ascii="Times New Roman" w:hAnsi="Times New Roman" w:cs="Times New Roman"/>
          <w:sz w:val="24"/>
          <w:szCs w:val="24"/>
        </w:rPr>
        <w:t xml:space="preserve">) </w:t>
      </w:r>
      <w:r w:rsidR="002B26A6">
        <w:rPr>
          <w:rFonts w:ascii="Times New Roman" w:hAnsi="Times New Roman" w:cs="Times New Roman"/>
          <w:sz w:val="24"/>
          <w:szCs w:val="24"/>
        </w:rPr>
        <w:t>and secondary and above (OR = 1.949, p = 0.013</w:t>
      </w:r>
      <w:r w:rsidRPr="00FD583A">
        <w:rPr>
          <w:rFonts w:ascii="Times New Roman" w:hAnsi="Times New Roman" w:cs="Times New Roman"/>
          <w:sz w:val="24"/>
          <w:szCs w:val="24"/>
        </w:rPr>
        <w:t xml:space="preserve">) had significantly better immune recovery than patients with no education, highlighting the role of access to health services and awareness. Patients who </w:t>
      </w:r>
      <w:r w:rsidR="004977BF">
        <w:rPr>
          <w:rFonts w:ascii="Times New Roman" w:hAnsi="Times New Roman" w:cs="Times New Roman"/>
          <w:sz w:val="24"/>
          <w:szCs w:val="24"/>
        </w:rPr>
        <w:t xml:space="preserve">had </w:t>
      </w:r>
      <w:r w:rsidR="000C34FB">
        <w:rPr>
          <w:rFonts w:ascii="Times New Roman" w:hAnsi="Times New Roman" w:cs="Times New Roman"/>
          <w:sz w:val="24"/>
          <w:szCs w:val="24"/>
        </w:rPr>
        <w:t>take</w:t>
      </w:r>
      <w:r w:rsidR="004977BF">
        <w:rPr>
          <w:rFonts w:ascii="Times New Roman" w:hAnsi="Times New Roman" w:cs="Times New Roman"/>
          <w:sz w:val="24"/>
          <w:szCs w:val="24"/>
        </w:rPr>
        <w:t>n OI drugs had about 69.6% increased</w:t>
      </w:r>
      <w:r w:rsidRPr="00FD583A">
        <w:rPr>
          <w:rFonts w:ascii="Times New Roman" w:hAnsi="Times New Roman" w:cs="Times New Roman"/>
          <w:sz w:val="24"/>
          <w:szCs w:val="24"/>
        </w:rPr>
        <w:t xml:space="preserve"> odd</w:t>
      </w:r>
      <w:r w:rsidR="004977BF">
        <w:rPr>
          <w:rFonts w:ascii="Times New Roman" w:hAnsi="Times New Roman" w:cs="Times New Roman"/>
          <w:sz w:val="24"/>
          <w:szCs w:val="24"/>
        </w:rPr>
        <w:t>s of CD4 improvement (OR = 2.696, p = 0.003), and also normal patients had 12.02 times higher</w:t>
      </w:r>
      <w:r w:rsidRPr="00FD583A">
        <w:rPr>
          <w:rFonts w:ascii="Times New Roman" w:hAnsi="Times New Roman" w:cs="Times New Roman"/>
          <w:sz w:val="24"/>
          <w:szCs w:val="24"/>
        </w:rPr>
        <w:t xml:space="preserve"> odds of immune recove</w:t>
      </w:r>
      <w:r w:rsidR="004977BF">
        <w:rPr>
          <w:rFonts w:ascii="Times New Roman" w:hAnsi="Times New Roman" w:cs="Times New Roman"/>
          <w:sz w:val="24"/>
          <w:szCs w:val="24"/>
        </w:rPr>
        <w:t>ry compared to those with anaemic haemoglobin (p = 0.021</w:t>
      </w:r>
      <w:r w:rsidRPr="00FD583A">
        <w:rPr>
          <w:rFonts w:ascii="Times New Roman" w:hAnsi="Times New Roman" w:cs="Times New Roman"/>
          <w:sz w:val="24"/>
          <w:szCs w:val="24"/>
        </w:rPr>
        <w:t>).</w:t>
      </w:r>
    </w:p>
    <w:p w:rsidR="004E5BC5" w:rsidRPr="00FD583A" w:rsidRDefault="004E5BC5" w:rsidP="008C3C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>Model diagnosis</w:t>
      </w:r>
    </w:p>
    <w:p w:rsidR="004E5BC5" w:rsidRDefault="004E5BC5" w:rsidP="004E5B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614DD2">
        <w:rPr>
          <w:rFonts w:ascii="Times New Roman" w:hAnsi="Times New Roman" w:cs="Times New Roman"/>
          <w:color w:val="131413"/>
          <w:sz w:val="24"/>
          <w:szCs w:val="24"/>
        </w:rPr>
        <w:t>T</w:t>
      </w:r>
      <w:r w:rsidR="004C7BBA">
        <w:rPr>
          <w:rFonts w:ascii="Times New Roman" w:hAnsi="Times New Roman" w:cs="Times New Roman"/>
          <w:color w:val="131413"/>
          <w:sz w:val="24"/>
          <w:szCs w:val="24"/>
        </w:rPr>
        <w:t xml:space="preserve">able </w:t>
      </w:r>
      <w:r w:rsidR="001F0986">
        <w:rPr>
          <w:rFonts w:ascii="Times New Roman" w:hAnsi="Times New Roman" w:cs="Times New Roman"/>
          <w:color w:val="131413"/>
          <w:sz w:val="24"/>
          <w:szCs w:val="24"/>
        </w:rPr>
        <w:t>2</w:t>
      </w:r>
      <w:r>
        <w:rPr>
          <w:rFonts w:ascii="Times New Roman" w:hAnsi="Times New Roman" w:cs="Times New Roman"/>
          <w:color w:val="131413"/>
          <w:sz w:val="24"/>
          <w:szCs w:val="24"/>
        </w:rPr>
        <w:t>:</w:t>
      </w:r>
      <w:r w:rsidRPr="00614DD2">
        <w:rPr>
          <w:rFonts w:ascii="Times New Roman" w:hAnsi="Times New Roman" w:cs="Times New Roman"/>
          <w:color w:val="131413"/>
          <w:sz w:val="24"/>
          <w:szCs w:val="24"/>
        </w:rPr>
        <w:t xml:space="preserve"> Overall model evaluation using likelihood ratio test</w:t>
      </w:r>
    </w:p>
    <w:tbl>
      <w:tblPr>
        <w:tblW w:w="50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8"/>
        <w:gridCol w:w="1455"/>
        <w:gridCol w:w="1455"/>
        <w:gridCol w:w="1455"/>
      </w:tblGrid>
      <w:tr w:rsidR="004E5BC5" w:rsidRPr="000B2E05" w:rsidTr="001F0986">
        <w:trPr>
          <w:cantSplit/>
        </w:trPr>
        <w:tc>
          <w:tcPr>
            <w:tcW w:w="50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4E5BC5" w:rsidRPr="000B2E05" w:rsidTr="001F0986">
        <w:trPr>
          <w:cantSplit/>
        </w:trPr>
        <w:tc>
          <w:tcPr>
            <w:tcW w:w="72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-2 Log likelihood</w:t>
            </w:r>
          </w:p>
        </w:tc>
        <w:tc>
          <w:tcPr>
            <w:tcW w:w="145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Cox &amp; Snell R Square</w:t>
            </w:r>
          </w:p>
        </w:tc>
        <w:tc>
          <w:tcPr>
            <w:tcW w:w="145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Nagelkerke</w:t>
            </w:r>
            <w:proofErr w:type="spellEnd"/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 xml:space="preserve"> R Square</w:t>
            </w:r>
          </w:p>
        </w:tc>
      </w:tr>
      <w:tr w:rsidR="004E5BC5" w:rsidRPr="000B2E05" w:rsidTr="001F0986">
        <w:trPr>
          <w:cantSplit/>
        </w:trPr>
        <w:tc>
          <w:tcPr>
            <w:tcW w:w="72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443.235</w:t>
            </w:r>
            <w:r w:rsidRPr="000B2E0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5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.350</w:t>
            </w:r>
          </w:p>
        </w:tc>
        <w:tc>
          <w:tcPr>
            <w:tcW w:w="145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.467</w:t>
            </w:r>
          </w:p>
        </w:tc>
      </w:tr>
    </w:tbl>
    <w:p w:rsidR="004E5BC5" w:rsidRDefault="004E5BC5" w:rsidP="004E5B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631A">
        <w:rPr>
          <w:rFonts w:ascii="Times New Roman" w:hAnsi="Times New Roman" w:cs="Times New Roman"/>
          <w:color w:val="000000"/>
          <w:sz w:val="24"/>
          <w:szCs w:val="24"/>
        </w:rPr>
        <w:t>The most common assessment of overall model fit in logistic regression is the likelihood ratio test,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which is simply the chi-square difference between the null model (i.e., with the constant only) and the model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containing the predictors. Under Model Summary we see that the -2 Log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Likelihood statistics is 443.235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. This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 xml:space="preserve">statistic measures how poorly </w:t>
      </w:r>
      <w:r>
        <w:rPr>
          <w:rFonts w:ascii="Times New Roman" w:hAnsi="Times New Roman" w:cs="Times New Roman"/>
          <w:color w:val="000000"/>
          <w:sz w:val="24"/>
          <w:szCs w:val="24"/>
        </w:rPr>
        <w:t>the model predicts the patient’s CD4 level improvement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, the smaller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stat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istic the better the model. The 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 xml:space="preserve">Cox and Snell or </w:t>
      </w:r>
      <w:proofErr w:type="spellStart"/>
      <w:r w:rsidRPr="00F6631A">
        <w:rPr>
          <w:rFonts w:ascii="Times New Roman" w:hAnsi="Times New Roman" w:cs="Times New Roman"/>
          <w:color w:val="000000"/>
          <w:sz w:val="24"/>
          <w:szCs w:val="24"/>
        </w:rPr>
        <w:t>Nagelkerke</w:t>
      </w:r>
      <w:proofErr w:type="spellEnd"/>
      <w:r w:rsidRPr="00F6631A">
        <w:rPr>
          <w:rFonts w:ascii="Times New Roman" w:hAnsi="Times New Roman" w:cs="Times New Roman"/>
          <w:color w:val="000000"/>
          <w:sz w:val="24"/>
          <w:szCs w:val="24"/>
        </w:rPr>
        <w:t xml:space="preserve"> R</w:t>
      </w:r>
      <w:r w:rsidRPr="00F6631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 xml:space="preserve"> is an analogous statistic in logistic regression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to the coefficient of determination R</w:t>
      </w:r>
      <w:r w:rsidRPr="00F6631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 xml:space="preserve"> in linear regression, but not close analogy. The model summary provides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some approximation of R</w:t>
      </w:r>
      <w:r w:rsidRPr="00F6631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 xml:space="preserve"> statistic in logistic regression. Cox and Snell’s R</w:t>
      </w:r>
      <w:r w:rsidRPr="00F6631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 xml:space="preserve"> attempts to imitate multiple R</w:t>
      </w:r>
      <w:r w:rsidRPr="00F6631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based on likelihood. The result of Cox and Snell R</w:t>
      </w:r>
      <w:r w:rsidRPr="00F6631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indicates that 35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% of the variation in the dependent variable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explained by the 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predictor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vari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able 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707976"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Pr="007079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able </w:t>
      </w:r>
      <w:r w:rsidR="00707976" w:rsidRPr="00707976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F6631A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4E5BC5" w:rsidRDefault="004E5BC5" w:rsidP="004E5B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>
        <w:rPr>
          <w:rFonts w:ascii="Times New Roman" w:hAnsi="Times New Roman" w:cs="Times New Roman"/>
          <w:color w:val="131413"/>
          <w:sz w:val="24"/>
          <w:szCs w:val="24"/>
        </w:rPr>
        <w:t>Base</w:t>
      </w:r>
      <w:r w:rsidR="00707976">
        <w:rPr>
          <w:rFonts w:ascii="Times New Roman" w:hAnsi="Times New Roman" w:cs="Times New Roman"/>
          <w:color w:val="131413"/>
          <w:sz w:val="24"/>
          <w:szCs w:val="24"/>
        </w:rPr>
        <w:t xml:space="preserve">d on the results in </w:t>
      </w:r>
      <w:r w:rsidR="00707976" w:rsidRPr="00707976">
        <w:rPr>
          <w:rFonts w:ascii="Times New Roman" w:hAnsi="Times New Roman" w:cs="Times New Roman"/>
          <w:b/>
          <w:color w:val="131413"/>
          <w:sz w:val="24"/>
          <w:szCs w:val="24"/>
        </w:rPr>
        <w:t>Table 3</w:t>
      </w:r>
      <w:r w:rsidRPr="006001F3">
        <w:rPr>
          <w:rFonts w:ascii="Times New Roman" w:hAnsi="Times New Roman" w:cs="Times New Roman"/>
          <w:color w:val="131413"/>
          <w:sz w:val="24"/>
          <w:szCs w:val="24"/>
        </w:rPr>
        <w:t>, the null hypothesis that there is no difference between the model with only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6001F3">
        <w:rPr>
          <w:rFonts w:ascii="Times New Roman" w:hAnsi="Times New Roman" w:cs="Times New Roman"/>
          <w:color w:val="131413"/>
          <w:sz w:val="24"/>
          <w:szCs w:val="24"/>
        </w:rPr>
        <w:t>a constant and the model with independent variables was rejected.</w:t>
      </w:r>
    </w:p>
    <w:p w:rsidR="004E5BC5" w:rsidRDefault="00707976" w:rsidP="004E5B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>
        <w:rPr>
          <w:rFonts w:ascii="Times New Roman" w:hAnsi="Times New Roman" w:cs="Times New Roman"/>
          <w:color w:val="131413"/>
          <w:sz w:val="24"/>
          <w:szCs w:val="24"/>
        </w:rPr>
        <w:t>Table 3</w:t>
      </w:r>
      <w:r w:rsidR="004E5BC5" w:rsidRPr="009A6A38">
        <w:rPr>
          <w:rFonts w:ascii="Times New Roman" w:hAnsi="Times New Roman" w:cs="Times New Roman"/>
          <w:color w:val="131413"/>
          <w:sz w:val="24"/>
          <w:szCs w:val="24"/>
        </w:rPr>
        <w:t>:</w:t>
      </w:r>
      <w:r w:rsidR="004E5BC5" w:rsidRPr="006001F3">
        <w:rPr>
          <w:rFonts w:ascii="Times New Roman" w:hAnsi="Times New Roman" w:cs="Times New Roman"/>
          <w:color w:val="131413"/>
          <w:sz w:val="24"/>
          <w:szCs w:val="24"/>
        </w:rPr>
        <w:t xml:space="preserve"> Omnibus tests of model coefficients</w:t>
      </w:r>
    </w:p>
    <w:tbl>
      <w:tblPr>
        <w:tblW w:w="47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4"/>
        <w:gridCol w:w="773"/>
        <w:gridCol w:w="1213"/>
        <w:gridCol w:w="1000"/>
        <w:gridCol w:w="1000"/>
      </w:tblGrid>
      <w:tr w:rsidR="004E5BC5" w:rsidRPr="000B2E05" w:rsidTr="00E13100">
        <w:trPr>
          <w:cantSplit/>
        </w:trPr>
        <w:tc>
          <w:tcPr>
            <w:tcW w:w="47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Omnibus Tests of Model Coefficients</w:t>
            </w:r>
          </w:p>
        </w:tc>
      </w:tr>
      <w:tr w:rsidR="004E5BC5" w:rsidRPr="000B2E05" w:rsidTr="00E13100">
        <w:trPr>
          <w:cantSplit/>
        </w:trPr>
        <w:tc>
          <w:tcPr>
            <w:tcW w:w="157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E5BC5" w:rsidRPr="000B2E05" w:rsidTr="00E13100">
        <w:trPr>
          <w:cantSplit/>
        </w:trPr>
        <w:tc>
          <w:tcPr>
            <w:tcW w:w="80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77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21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199.971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E5BC5" w:rsidRPr="000B2E05" w:rsidTr="00E13100">
        <w:trPr>
          <w:cantSplit/>
        </w:trPr>
        <w:tc>
          <w:tcPr>
            <w:tcW w:w="80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Block</w:t>
            </w:r>
          </w:p>
        </w:tc>
        <w:tc>
          <w:tcPr>
            <w:tcW w:w="121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199.971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E5BC5" w:rsidRPr="000B2E05" w:rsidTr="00E13100">
        <w:trPr>
          <w:cantSplit/>
        </w:trPr>
        <w:tc>
          <w:tcPr>
            <w:tcW w:w="80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21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199.971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:rsidR="004E5BC5" w:rsidRDefault="004E5BC5" w:rsidP="004E5B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6001F3">
        <w:rPr>
          <w:rFonts w:ascii="Times New Roman" w:hAnsi="Times New Roman" w:cs="Times New Roman"/>
          <w:color w:val="131413"/>
          <w:sz w:val="24"/>
          <w:szCs w:val="24"/>
        </w:rPr>
        <w:t>The Hosmer-Lemeshow goodness-of-fit test is found to be not significant (x</w:t>
      </w:r>
      <w:r w:rsidRPr="006001F3">
        <w:rPr>
          <w:rFonts w:ascii="Times New Roman" w:hAnsi="Times New Roman" w:cs="Times New Roman"/>
          <w:color w:val="131413"/>
          <w:sz w:val="24"/>
          <w:szCs w:val="24"/>
          <w:vertAlign w:val="superscript"/>
        </w:rPr>
        <w:t>2</w:t>
      </w:r>
      <w:r w:rsidRPr="006001F3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>= 8.689</w:t>
      </w:r>
      <w:r w:rsidRPr="006001F3">
        <w:rPr>
          <w:rFonts w:ascii="Times New Roman" w:hAnsi="Times New Roman" w:cs="Times New Roman"/>
          <w:color w:val="131413"/>
          <w:sz w:val="24"/>
          <w:szCs w:val="24"/>
        </w:rPr>
        <w:t xml:space="preserve">, </w:t>
      </w:r>
      <w:proofErr w:type="spellStart"/>
      <w:r w:rsidRPr="006001F3">
        <w:rPr>
          <w:rFonts w:ascii="Times New Roman" w:hAnsi="Times New Roman" w:cs="Times New Roman"/>
          <w:color w:val="131413"/>
          <w:sz w:val="24"/>
          <w:szCs w:val="24"/>
        </w:rPr>
        <w:t>d.f</w:t>
      </w:r>
      <w:proofErr w:type="spellEnd"/>
      <w:r w:rsidRPr="006001F3">
        <w:rPr>
          <w:rFonts w:ascii="Times New Roman" w:hAnsi="Times New Roman" w:cs="Times New Roman"/>
          <w:color w:val="131413"/>
          <w:sz w:val="24"/>
          <w:szCs w:val="24"/>
        </w:rPr>
        <w:t xml:space="preserve"> = 8, p</w:t>
      </w:r>
      <w:r>
        <w:rPr>
          <w:rFonts w:ascii="Times New Roman" w:hAnsi="Times New Roman" w:cs="Times New Roman"/>
          <w:color w:val="131413"/>
          <w:sz w:val="24"/>
          <w:szCs w:val="24"/>
        </w:rPr>
        <w:t>-value = 0.370</w:t>
      </w:r>
      <w:r w:rsidRPr="006001F3">
        <w:rPr>
          <w:rFonts w:ascii="Times New Roman" w:hAnsi="Times New Roman" w:cs="Times New Roman"/>
          <w:color w:val="131413"/>
          <w:sz w:val="24"/>
          <w:szCs w:val="24"/>
        </w:rPr>
        <w:t>).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6001F3">
        <w:rPr>
          <w:rFonts w:ascii="Times New Roman" w:hAnsi="Times New Roman" w:cs="Times New Roman"/>
          <w:color w:val="131413"/>
          <w:sz w:val="24"/>
          <w:szCs w:val="24"/>
        </w:rPr>
        <w:t>Thus, we do not have an evidence to reject the null hypothesis that the model fitted the data well.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</w:p>
    <w:p w:rsidR="004E5BC5" w:rsidRDefault="00707976" w:rsidP="004E5B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>
        <w:rPr>
          <w:rFonts w:ascii="Times New Roman" w:hAnsi="Times New Roman" w:cs="Times New Roman"/>
          <w:color w:val="131413"/>
          <w:sz w:val="24"/>
          <w:szCs w:val="24"/>
        </w:rPr>
        <w:t xml:space="preserve">Table </w:t>
      </w:r>
      <w:r w:rsidR="009A357B">
        <w:rPr>
          <w:rFonts w:ascii="Times New Roman" w:hAnsi="Times New Roman" w:cs="Times New Roman"/>
          <w:color w:val="131413"/>
          <w:sz w:val="24"/>
          <w:szCs w:val="24"/>
        </w:rPr>
        <w:t>4</w:t>
      </w:r>
      <w:r w:rsidR="004E5BC5" w:rsidRPr="006001F3">
        <w:rPr>
          <w:rFonts w:ascii="Times New Roman" w:hAnsi="Times New Roman" w:cs="Times New Roman"/>
          <w:b/>
          <w:color w:val="131413"/>
          <w:sz w:val="24"/>
          <w:szCs w:val="24"/>
        </w:rPr>
        <w:t>:</w:t>
      </w:r>
      <w:r w:rsidR="004E5BC5" w:rsidRPr="006001F3">
        <w:rPr>
          <w:rFonts w:ascii="Times New Roman" w:hAnsi="Times New Roman" w:cs="Times New Roman"/>
          <w:color w:val="131413"/>
          <w:sz w:val="24"/>
          <w:szCs w:val="24"/>
        </w:rPr>
        <w:t xml:space="preserve"> Hosmer-Lemeshow goodness-of-fit test</w:t>
      </w:r>
    </w:p>
    <w:tbl>
      <w:tblPr>
        <w:tblW w:w="39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6"/>
        <w:gridCol w:w="1213"/>
        <w:gridCol w:w="1001"/>
        <w:gridCol w:w="1001"/>
      </w:tblGrid>
      <w:tr w:rsidR="004E5BC5" w:rsidRPr="000B2E05" w:rsidTr="00E13100">
        <w:trPr>
          <w:cantSplit/>
        </w:trPr>
        <w:tc>
          <w:tcPr>
            <w:tcW w:w="3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Hosmer and Lemeshow Test</w:t>
            </w:r>
          </w:p>
        </w:tc>
      </w:tr>
      <w:tr w:rsidR="004E5BC5" w:rsidRPr="000B2E05" w:rsidTr="00E13100">
        <w:trPr>
          <w:cantSplit/>
        </w:trPr>
        <w:tc>
          <w:tcPr>
            <w:tcW w:w="7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21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E5BC5" w:rsidRPr="000B2E05" w:rsidTr="00E13100">
        <w:trPr>
          <w:cantSplit/>
        </w:trPr>
        <w:tc>
          <w:tcPr>
            <w:tcW w:w="7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1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8.686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E5BC5" w:rsidRPr="000B2E05" w:rsidRDefault="004E5BC5" w:rsidP="00E1310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2E05">
              <w:rPr>
                <w:rFonts w:ascii="Arial" w:hAnsi="Arial" w:cs="Arial"/>
                <w:color w:val="000000"/>
                <w:sz w:val="18"/>
                <w:szCs w:val="18"/>
              </w:rPr>
              <w:t>.370</w:t>
            </w:r>
          </w:p>
        </w:tc>
      </w:tr>
    </w:tbl>
    <w:p w:rsidR="004E5BC5" w:rsidRPr="00FA6BD6" w:rsidRDefault="004E5BC5" w:rsidP="004E5B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FA6BD6">
        <w:rPr>
          <w:rFonts w:ascii="Times New Roman" w:hAnsi="Times New Roman" w:cs="Times New Roman"/>
          <w:color w:val="131413"/>
          <w:sz w:val="24"/>
          <w:szCs w:val="24"/>
        </w:rPr>
        <w:t>Validation of predicted probabilities</w:t>
      </w:r>
    </w:p>
    <w:p w:rsidR="003A00EF" w:rsidRDefault="00CD7431"/>
    <w:sectPr w:rsidR="003A00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431" w:rsidRDefault="00CD7431" w:rsidP="00601CD1">
      <w:pPr>
        <w:spacing w:after="0" w:line="240" w:lineRule="auto"/>
      </w:pPr>
      <w:r>
        <w:separator/>
      </w:r>
    </w:p>
  </w:endnote>
  <w:endnote w:type="continuationSeparator" w:id="0">
    <w:p w:rsidR="00CD7431" w:rsidRDefault="00CD7431" w:rsidP="00601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431" w:rsidRDefault="00CD7431" w:rsidP="00601CD1">
      <w:pPr>
        <w:spacing w:after="0" w:line="240" w:lineRule="auto"/>
      </w:pPr>
      <w:r>
        <w:separator/>
      </w:r>
    </w:p>
  </w:footnote>
  <w:footnote w:type="continuationSeparator" w:id="0">
    <w:p w:rsidR="00CD7431" w:rsidRDefault="00CD7431" w:rsidP="00601C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CAF"/>
    <w:rsid w:val="00024BFC"/>
    <w:rsid w:val="0009686A"/>
    <w:rsid w:val="000C34FB"/>
    <w:rsid w:val="001F0986"/>
    <w:rsid w:val="002B26A6"/>
    <w:rsid w:val="004977BF"/>
    <w:rsid w:val="004C7BBA"/>
    <w:rsid w:val="004E5BC5"/>
    <w:rsid w:val="005561B0"/>
    <w:rsid w:val="00601CD1"/>
    <w:rsid w:val="006B5F4E"/>
    <w:rsid w:val="00707976"/>
    <w:rsid w:val="008C3CAF"/>
    <w:rsid w:val="009350BD"/>
    <w:rsid w:val="0099420B"/>
    <w:rsid w:val="009A357B"/>
    <w:rsid w:val="009C4182"/>
    <w:rsid w:val="00A86C06"/>
    <w:rsid w:val="00AA013E"/>
    <w:rsid w:val="00B54E36"/>
    <w:rsid w:val="00C440F8"/>
    <w:rsid w:val="00CD7431"/>
    <w:rsid w:val="00D0550F"/>
    <w:rsid w:val="00D959ED"/>
    <w:rsid w:val="00F74728"/>
    <w:rsid w:val="00FC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C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CD1"/>
  </w:style>
  <w:style w:type="paragraph" w:styleId="Footer">
    <w:name w:val="footer"/>
    <w:basedOn w:val="Normal"/>
    <w:link w:val="FooterChar"/>
    <w:uiPriority w:val="99"/>
    <w:unhideWhenUsed/>
    <w:rsid w:val="00601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C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C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CD1"/>
  </w:style>
  <w:style w:type="paragraph" w:styleId="Footer">
    <w:name w:val="footer"/>
    <w:basedOn w:val="Normal"/>
    <w:link w:val="FooterChar"/>
    <w:uiPriority w:val="99"/>
    <w:unhideWhenUsed/>
    <w:rsid w:val="00601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18</cp:revision>
  <cp:lastPrinted>2025-08-26T06:54:00Z</cp:lastPrinted>
  <dcterms:created xsi:type="dcterms:W3CDTF">2025-08-23T06:36:00Z</dcterms:created>
  <dcterms:modified xsi:type="dcterms:W3CDTF">2025-08-30T13:48:00Z</dcterms:modified>
</cp:coreProperties>
</file>