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0D03F3" w14:textId="2C263A48" w:rsidR="00B21091" w:rsidRPr="008E6B1B" w:rsidRDefault="001B2EA7" w:rsidP="00747AB5">
      <w:pPr>
        <w:spacing w:line="480" w:lineRule="auto"/>
        <w:rPr>
          <w:rFonts w:asciiTheme="minorHAnsi" w:hAnsiTheme="minorHAnsi"/>
          <w:lang w:val="en-US"/>
        </w:rPr>
      </w:pPr>
      <w:r w:rsidRPr="008E6B1B">
        <w:rPr>
          <w:rFonts w:asciiTheme="minorHAnsi" w:hAnsiTheme="minorHAnsi"/>
          <w:lang w:val="en-US"/>
        </w:rPr>
        <w:t xml:space="preserve">Supplementary Table 1. Key </w:t>
      </w:r>
      <w:r w:rsidR="008E6B1B" w:rsidRPr="008E6B1B">
        <w:rPr>
          <w:rFonts w:asciiTheme="minorHAnsi" w:hAnsiTheme="minorHAnsi"/>
          <w:lang w:val="en-US"/>
        </w:rPr>
        <w:t xml:space="preserve">claim </w:t>
      </w:r>
      <w:r w:rsidRPr="008E6B1B">
        <w:rPr>
          <w:rFonts w:asciiTheme="minorHAnsi" w:hAnsiTheme="minorHAnsi"/>
          <w:lang w:val="en-US"/>
        </w:rPr>
        <w:t>of evidence</w:t>
      </w:r>
      <w:r w:rsidR="001325CD" w:rsidRPr="008E6B1B">
        <w:rPr>
          <w:rFonts w:asciiTheme="minorHAnsi" w:hAnsiTheme="minorHAnsi"/>
          <w:lang w:val="en-US"/>
        </w:rPr>
        <w:t xml:space="preserve"> on major aspects of syphilis in people living with HIV </w:t>
      </w:r>
      <w:r w:rsidR="008E6B1B" w:rsidRPr="008E6B1B">
        <w:rPr>
          <w:rFonts w:asciiTheme="minorHAnsi" w:hAnsiTheme="minorHAnsi"/>
          <w:lang w:val="en-US"/>
        </w:rPr>
        <w:t>and study design</w:t>
      </w:r>
      <w:r w:rsidR="001325CD" w:rsidRPr="008E6B1B">
        <w:rPr>
          <w:rFonts w:asciiTheme="minorHAnsi" w:hAnsiTheme="minorHAnsi"/>
          <w:lang w:val="en-US"/>
        </w:rPr>
        <w:t xml:space="preserve"> </w:t>
      </w:r>
    </w:p>
    <w:p w14:paraId="2C26F991" w14:textId="77777777" w:rsidR="00B21091" w:rsidRPr="008E6B1B" w:rsidRDefault="00B21091" w:rsidP="00B21091">
      <w:pPr>
        <w:rPr>
          <w:rFonts w:asciiTheme="minorHAnsi" w:hAnsiTheme="minorHAnsi"/>
          <w:lang w:val="en-US"/>
        </w:rPr>
      </w:pP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3490"/>
        <w:gridCol w:w="2164"/>
        <w:gridCol w:w="1653"/>
        <w:gridCol w:w="1195"/>
        <w:gridCol w:w="1136"/>
      </w:tblGrid>
      <w:tr w:rsidR="00BA7AE4" w:rsidRPr="008E6B1B" w14:paraId="3956BDF9" w14:textId="0E5528CB" w:rsidTr="000129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80374D" w14:textId="77777777" w:rsidR="00BA7AE4" w:rsidRPr="00BA7AE4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BA7AE4">
              <w:rPr>
                <w:rStyle w:val="Enfasigrassetto"/>
                <w:rFonts w:asciiTheme="minorHAnsi" w:eastAsiaTheme="majorEastAsia" w:hAnsiTheme="minorHAnsi"/>
                <w:color w:val="000000"/>
                <w:lang w:val="en-US"/>
              </w:rPr>
              <w:t>Key claim</w:t>
            </w:r>
          </w:p>
        </w:tc>
        <w:tc>
          <w:tcPr>
            <w:tcW w:w="0" w:type="auto"/>
            <w:hideMark/>
          </w:tcPr>
          <w:p w14:paraId="1DD647A9" w14:textId="77777777" w:rsidR="00BA7AE4" w:rsidRPr="00BA7AE4" w:rsidRDefault="00BA7AE4" w:rsidP="0001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BA7AE4">
              <w:rPr>
                <w:rStyle w:val="Enfasigrassetto"/>
                <w:rFonts w:asciiTheme="minorHAnsi" w:eastAsiaTheme="majorEastAsia" w:hAnsiTheme="minorHAnsi"/>
                <w:color w:val="000000"/>
                <w:lang w:val="en-US"/>
              </w:rPr>
              <w:t>Study design</w:t>
            </w:r>
          </w:p>
        </w:tc>
        <w:tc>
          <w:tcPr>
            <w:tcW w:w="0" w:type="auto"/>
          </w:tcPr>
          <w:p w14:paraId="1B9EBB5C" w14:textId="2C89784F" w:rsidR="00BA7AE4" w:rsidRPr="00853F30" w:rsidRDefault="00BA7AE4" w:rsidP="0001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Enfasigrassetto"/>
                <w:rFonts w:asciiTheme="minorHAnsi" w:eastAsiaTheme="majorEastAsia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Style w:val="Enfasigrassetto"/>
                <w:rFonts w:asciiTheme="minorHAnsi" w:eastAsiaTheme="majorEastAsia" w:hAnsiTheme="minorHAnsi"/>
                <w:color w:val="000000"/>
                <w:highlight w:val="yellow"/>
                <w:lang w:val="en-US"/>
              </w:rPr>
              <w:t>P</w:t>
            </w:r>
            <w:r w:rsidRPr="00853F30">
              <w:rPr>
                <w:rStyle w:val="Enfasigrassetto"/>
                <w:rFonts w:eastAsiaTheme="majorEastAsia"/>
                <w:color w:val="000000"/>
                <w:highlight w:val="yellow"/>
                <w:lang w:val="en-US"/>
              </w:rPr>
              <w:t>opulation</w:t>
            </w:r>
          </w:p>
        </w:tc>
        <w:tc>
          <w:tcPr>
            <w:tcW w:w="0" w:type="auto"/>
          </w:tcPr>
          <w:p w14:paraId="44D9EEE8" w14:textId="438D2820" w:rsidR="00BA7AE4" w:rsidRPr="00853F30" w:rsidRDefault="00BA7AE4" w:rsidP="0001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Enfasigrassetto"/>
                <w:rFonts w:asciiTheme="minorHAnsi" w:eastAsiaTheme="majorEastAsia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Style w:val="Enfasigrassetto"/>
                <w:rFonts w:asciiTheme="minorHAnsi" w:eastAsiaTheme="majorEastAsia" w:hAnsiTheme="minorHAnsi"/>
                <w:color w:val="000000"/>
                <w:highlight w:val="yellow"/>
                <w:lang w:val="en-US"/>
              </w:rPr>
              <w:t>E</w:t>
            </w:r>
            <w:r w:rsidRPr="00853F30">
              <w:rPr>
                <w:rStyle w:val="Enfasigrassetto"/>
                <w:rFonts w:eastAsiaTheme="majorEastAsia"/>
                <w:color w:val="000000"/>
                <w:highlight w:val="yellow"/>
                <w:lang w:val="en-US"/>
              </w:rPr>
              <w:t>vidence Grading</w:t>
            </w:r>
          </w:p>
        </w:tc>
        <w:tc>
          <w:tcPr>
            <w:tcW w:w="0" w:type="auto"/>
          </w:tcPr>
          <w:p w14:paraId="740AA951" w14:textId="02EE6B44" w:rsidR="00BA7AE4" w:rsidRPr="00853F30" w:rsidRDefault="00BA7AE4" w:rsidP="0001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Enfasigrassetto"/>
                <w:rFonts w:asciiTheme="minorHAnsi" w:eastAsiaTheme="majorEastAsia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Style w:val="Enfasigrassetto"/>
                <w:rFonts w:asciiTheme="minorHAnsi" w:eastAsiaTheme="majorEastAsia" w:hAnsiTheme="minorHAnsi"/>
                <w:color w:val="000000"/>
                <w:highlight w:val="yellow"/>
                <w:lang w:val="en-US"/>
              </w:rPr>
              <w:t>C</w:t>
            </w:r>
            <w:r w:rsidRPr="00853F30">
              <w:rPr>
                <w:rStyle w:val="Enfasigrassetto"/>
                <w:rFonts w:eastAsiaTheme="majorEastAsia"/>
                <w:color w:val="000000"/>
                <w:highlight w:val="yellow"/>
                <w:lang w:val="en-US"/>
              </w:rPr>
              <w:t>itations</w:t>
            </w:r>
          </w:p>
        </w:tc>
      </w:tr>
      <w:tr w:rsidR="00BA7AE4" w:rsidRPr="008E6B1B" w14:paraId="00AA234C" w14:textId="580E83C2" w:rsidTr="00012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92C884" w14:textId="6F11387F" w:rsidR="00BA7AE4" w:rsidRDefault="00BA7AE4" w:rsidP="000129D7">
            <w:pPr>
              <w:jc w:val="center"/>
              <w:rPr>
                <w:rFonts w:asciiTheme="minorHAnsi" w:hAnsiTheme="minorHAnsi"/>
                <w:color w:val="000000"/>
                <w:lang w:val="en-US"/>
              </w:rPr>
            </w:pPr>
            <w:r w:rsidRPr="00BA7AE4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A single 2.4-MU dose of BPG is sufficient for the treatment of early syphilis in PLWH</w:t>
            </w:r>
            <w:r w:rsidR="00836BB2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.</w:t>
            </w:r>
          </w:p>
          <w:p w14:paraId="4F563CF6" w14:textId="795D83B3" w:rsidR="00836BB2" w:rsidRPr="00BA7AE4" w:rsidRDefault="00836BB2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8E6B1B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Additional weekly doses of benzathine penicillin G do not provide a significant benefit over a single dose</w:t>
            </w:r>
          </w:p>
        </w:tc>
        <w:tc>
          <w:tcPr>
            <w:tcW w:w="0" w:type="auto"/>
          </w:tcPr>
          <w:p w14:paraId="3A6D9736" w14:textId="2FFDF869" w:rsidR="00BA7AE4" w:rsidRPr="00BA7AE4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BA7AE4">
              <w:rPr>
                <w:rFonts w:asciiTheme="minorHAnsi" w:hAnsiTheme="minorHAnsi"/>
                <w:color w:val="000000"/>
                <w:lang w:val="en-US"/>
              </w:rPr>
              <w:t>Randomized controlled trials</w:t>
            </w:r>
          </w:p>
        </w:tc>
        <w:tc>
          <w:tcPr>
            <w:tcW w:w="0" w:type="auto"/>
          </w:tcPr>
          <w:p w14:paraId="46EEC7D7" w14:textId="56CB4C23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  <w:r w:rsidR="00F11313"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10D7CFA1" w14:textId="0CA379CA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A</w:t>
            </w:r>
          </w:p>
        </w:tc>
        <w:tc>
          <w:tcPr>
            <w:tcW w:w="0" w:type="auto"/>
          </w:tcPr>
          <w:p w14:paraId="3FE182B7" w14:textId="70419551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noProof/>
                <w:highlight w:val="yellow"/>
                <w:lang w:val="en-US"/>
              </w:rPr>
              <w:t>[11</w:t>
            </w:r>
            <w:r w:rsidR="000E2536">
              <w:rPr>
                <w:noProof/>
                <w:highlight w:val="yellow"/>
                <w:lang w:val="en-US"/>
              </w:rPr>
              <w:t>7</w:t>
            </w:r>
            <w:r w:rsidR="00F11313">
              <w:rPr>
                <w:noProof/>
                <w:highlight w:val="yellow"/>
                <w:lang w:val="en-US"/>
              </w:rPr>
              <w:t>, 118</w:t>
            </w:r>
            <w:r w:rsidRPr="00853F30">
              <w:rPr>
                <w:noProof/>
                <w:highlight w:val="yellow"/>
                <w:lang w:val="en-US"/>
              </w:rPr>
              <w:t>]</w:t>
            </w:r>
          </w:p>
        </w:tc>
      </w:tr>
      <w:tr w:rsidR="00BA7AE4" w:rsidRPr="008E6B1B" w14:paraId="2D508EFF" w14:textId="318C9290" w:rsidTr="000129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5714CD" w14:textId="0C68A841" w:rsidR="00BA7AE4" w:rsidRPr="008E6B1B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8E6B1B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 xml:space="preserve">Doxycycline post-exposure prophylaxis </w:t>
            </w:r>
            <w:r w:rsidR="00ED1D36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 xml:space="preserve">may </w:t>
            </w:r>
            <w:r w:rsidR="00ED1D36" w:rsidRPr="008E6B1B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reduce</w:t>
            </w:r>
            <w:r w:rsidRPr="008E6B1B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 xml:space="preserve"> the incidence of syphilis among selected PLWH at increased risk of bacterial STIs</w:t>
            </w:r>
          </w:p>
        </w:tc>
        <w:tc>
          <w:tcPr>
            <w:tcW w:w="0" w:type="auto"/>
          </w:tcPr>
          <w:p w14:paraId="67CBE350" w14:textId="77777777" w:rsidR="00BA7AE4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8E6B1B">
              <w:rPr>
                <w:rFonts w:asciiTheme="minorHAnsi" w:hAnsiTheme="minorHAnsi"/>
                <w:color w:val="000000"/>
                <w:lang w:val="en-US"/>
              </w:rPr>
              <w:t>Randomized controlled trials</w:t>
            </w:r>
          </w:p>
          <w:p w14:paraId="13C5ECB8" w14:textId="739C57A6" w:rsidR="004F5208" w:rsidRPr="008E6B1B" w:rsidRDefault="004F5208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>
              <w:rPr>
                <w:rFonts w:asciiTheme="minorHAnsi" w:hAnsiTheme="minorHAnsi"/>
                <w:color w:val="000000"/>
                <w:lang w:val="en-US"/>
              </w:rPr>
              <w:t>and o</w:t>
            </w:r>
            <w:r w:rsidRPr="00747AB5">
              <w:rPr>
                <w:rFonts w:asciiTheme="minorHAnsi" w:hAnsiTheme="minorHAnsi"/>
                <w:color w:val="000000"/>
                <w:lang w:val="en-US"/>
              </w:rPr>
              <w:t>bservational study</w:t>
            </w:r>
          </w:p>
        </w:tc>
        <w:tc>
          <w:tcPr>
            <w:tcW w:w="0" w:type="auto"/>
          </w:tcPr>
          <w:p w14:paraId="5D9189A7" w14:textId="3D442162" w:rsidR="00BA7AE4" w:rsidRPr="00853F30" w:rsidRDefault="00F11313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High risk individuals </w:t>
            </w:r>
            <w:proofErr w:type="gramStart"/>
            <w:r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including </w:t>
            </w:r>
            <w:r w:rsidR="004F5208"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 PLWH</w:t>
            </w:r>
            <w:proofErr w:type="gramEnd"/>
          </w:p>
        </w:tc>
        <w:tc>
          <w:tcPr>
            <w:tcW w:w="0" w:type="auto"/>
          </w:tcPr>
          <w:p w14:paraId="0FF92928" w14:textId="44FB0FCB" w:rsidR="00BA7AE4" w:rsidRPr="00853F30" w:rsidRDefault="00894B17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B</w:t>
            </w:r>
          </w:p>
        </w:tc>
        <w:tc>
          <w:tcPr>
            <w:tcW w:w="0" w:type="auto"/>
          </w:tcPr>
          <w:p w14:paraId="78DF5FDF" w14:textId="612082CE" w:rsidR="00BA7AE4" w:rsidRPr="00853F30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</w:t>
            </w:r>
            <w:r w:rsidR="000E2536"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135, 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13</w:t>
            </w:r>
            <w:r w:rsidR="000E2536">
              <w:rPr>
                <w:rFonts w:asciiTheme="minorHAnsi" w:hAnsiTheme="minorHAnsi"/>
                <w:color w:val="000000"/>
                <w:highlight w:val="yellow"/>
                <w:lang w:val="en-US"/>
              </w:rPr>
              <w:t>6</w:t>
            </w:r>
            <w:r w:rsidR="004F5208"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8E6B1B" w14:paraId="71174B20" w14:textId="2C6DEBBE" w:rsidTr="00012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310E95" w14:textId="0FFB050E" w:rsidR="00BA7AE4" w:rsidRPr="00747AB5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Effective antiretroviral therapy may be associated with improved serological response to syphilis treatment in PLWH</w:t>
            </w:r>
          </w:p>
        </w:tc>
        <w:tc>
          <w:tcPr>
            <w:tcW w:w="0" w:type="auto"/>
          </w:tcPr>
          <w:p w14:paraId="0E0956B4" w14:textId="5BE340E6" w:rsidR="00BA7AE4" w:rsidRPr="00747AB5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color w:val="000000"/>
                <w:lang w:val="en-US"/>
              </w:rPr>
              <w:t>Observational study/ Retrospective cohorts</w:t>
            </w:r>
          </w:p>
        </w:tc>
        <w:tc>
          <w:tcPr>
            <w:tcW w:w="0" w:type="auto"/>
          </w:tcPr>
          <w:p w14:paraId="3972080B" w14:textId="0BD005F9" w:rsidR="00BA7AE4" w:rsidRPr="00853F30" w:rsidRDefault="000129D7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4E4C20D3" w14:textId="12F7B9B9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B</w:t>
            </w:r>
          </w:p>
        </w:tc>
        <w:tc>
          <w:tcPr>
            <w:tcW w:w="0" w:type="auto"/>
          </w:tcPr>
          <w:p w14:paraId="0FF9AA13" w14:textId="5763BAC2" w:rsidR="00BA7AE4" w:rsidRPr="00853F30" w:rsidRDefault="000129D7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[1</w:t>
            </w:r>
            <w:r w:rsidR="000E2536">
              <w:rPr>
                <w:rFonts w:asciiTheme="minorHAnsi" w:hAnsiTheme="minorHAnsi"/>
                <w:color w:val="000000"/>
                <w:highlight w:val="yellow"/>
                <w:lang w:val="en-US"/>
              </w:rPr>
              <w:t>29</w:t>
            </w:r>
            <w:r w:rsidR="00651BA1">
              <w:rPr>
                <w:rFonts w:asciiTheme="minorHAnsi" w:hAnsiTheme="minorHAnsi"/>
                <w:color w:val="000000"/>
                <w:highlight w:val="yellow"/>
                <w:lang w:val="en-US"/>
              </w:rPr>
              <w:t>, 130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8E6B1B" w14:paraId="34CF5AE8" w14:textId="77FE4A67" w:rsidTr="000129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C2C702" w14:textId="77777777" w:rsidR="00BA7AE4" w:rsidRPr="00747AB5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PLWH may exhibit atypical or altered serological responses to syphilis</w:t>
            </w:r>
          </w:p>
        </w:tc>
        <w:tc>
          <w:tcPr>
            <w:tcW w:w="0" w:type="auto"/>
            <w:hideMark/>
          </w:tcPr>
          <w:p w14:paraId="7E59717D" w14:textId="1C539B40" w:rsidR="00BA7AE4" w:rsidRPr="00747AB5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color w:val="000000"/>
                <w:lang w:val="en-US"/>
              </w:rPr>
              <w:t>Observational studies/ retrospective cohorts</w:t>
            </w:r>
          </w:p>
        </w:tc>
        <w:tc>
          <w:tcPr>
            <w:tcW w:w="0" w:type="auto"/>
          </w:tcPr>
          <w:p w14:paraId="57C6F968" w14:textId="75255AF3" w:rsidR="00BA7AE4" w:rsidRPr="00853F30" w:rsidRDefault="000129D7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24CF452B" w14:textId="5DFFE7C7" w:rsidR="00BA7AE4" w:rsidRPr="00853F30" w:rsidRDefault="000129D7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B</w:t>
            </w:r>
          </w:p>
        </w:tc>
        <w:tc>
          <w:tcPr>
            <w:tcW w:w="0" w:type="auto"/>
          </w:tcPr>
          <w:p w14:paraId="717957C3" w14:textId="5655F91E" w:rsidR="00BA7AE4" w:rsidRPr="00853F30" w:rsidRDefault="000129D7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[13</w:t>
            </w:r>
            <w:r w:rsidR="00651BA1">
              <w:rPr>
                <w:rFonts w:asciiTheme="minorHAnsi" w:hAnsiTheme="minorHAnsi"/>
                <w:color w:val="000000"/>
                <w:highlight w:val="yellow"/>
                <w:lang w:val="en-US"/>
              </w:rPr>
              <w:t>2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8E6B1B" w14:paraId="46B6069F" w14:textId="5728C7E7" w:rsidTr="00012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DF4B1A" w14:textId="77777777" w:rsidR="00BA7AE4" w:rsidRPr="00747AB5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Transient increases in HIV viral load may occur in PLWH with early syphilis</w:t>
            </w:r>
          </w:p>
        </w:tc>
        <w:tc>
          <w:tcPr>
            <w:tcW w:w="0" w:type="auto"/>
            <w:hideMark/>
          </w:tcPr>
          <w:p w14:paraId="3E50EF99" w14:textId="41AF63B3" w:rsidR="00BA7AE4" w:rsidRPr="00747AB5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color w:val="000000"/>
                <w:lang w:val="en-US"/>
              </w:rPr>
              <w:t>Case reports/ case series/ Small observational studies</w:t>
            </w:r>
          </w:p>
        </w:tc>
        <w:tc>
          <w:tcPr>
            <w:tcW w:w="0" w:type="auto"/>
          </w:tcPr>
          <w:p w14:paraId="45B0D18B" w14:textId="54C7DD87" w:rsidR="00BA7AE4" w:rsidRPr="00853F30" w:rsidRDefault="000129D7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314AE215" w14:textId="2E403A27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C</w:t>
            </w:r>
          </w:p>
        </w:tc>
        <w:tc>
          <w:tcPr>
            <w:tcW w:w="0" w:type="auto"/>
          </w:tcPr>
          <w:p w14:paraId="5289D0B1" w14:textId="05901D01" w:rsidR="00BA7AE4" w:rsidRPr="00853F30" w:rsidRDefault="000129D7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[4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0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–4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3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8E6B1B" w14:paraId="1C610F1A" w14:textId="0C180619" w:rsidTr="000129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28D348" w14:textId="77777777" w:rsidR="00BA7AE4" w:rsidRPr="00747AB5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Asymptomatic neurosyphilis may be more frequently identified among PLWH, although its clinical significance remains uncertain</w:t>
            </w:r>
          </w:p>
        </w:tc>
        <w:tc>
          <w:tcPr>
            <w:tcW w:w="0" w:type="auto"/>
            <w:hideMark/>
          </w:tcPr>
          <w:p w14:paraId="493E62F9" w14:textId="5D29091E" w:rsidR="00BA7AE4" w:rsidRPr="00747AB5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color w:val="000000"/>
                <w:lang w:val="en-US"/>
              </w:rPr>
              <w:t>Observational study/ Retrospective cohorts</w:t>
            </w:r>
          </w:p>
        </w:tc>
        <w:tc>
          <w:tcPr>
            <w:tcW w:w="0" w:type="auto"/>
          </w:tcPr>
          <w:p w14:paraId="29CC0713" w14:textId="193D2652" w:rsidR="00BA7AE4" w:rsidRPr="00853F30" w:rsidRDefault="000129D7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675485F5" w14:textId="445C22EA" w:rsidR="00BA7AE4" w:rsidRPr="00853F30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B</w:t>
            </w:r>
          </w:p>
        </w:tc>
        <w:tc>
          <w:tcPr>
            <w:tcW w:w="0" w:type="auto"/>
          </w:tcPr>
          <w:p w14:paraId="10AEA0DC" w14:textId="1E569C8D" w:rsidR="00BA7AE4" w:rsidRPr="00853F30" w:rsidRDefault="000129D7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[9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0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, 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99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 xml:space="preserve">, 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100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8E6B1B" w14:paraId="55DA0ED2" w14:textId="165DDF1B" w:rsidTr="00012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009D03" w14:textId="77777777" w:rsidR="00BA7AE4" w:rsidRPr="00747AB5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CSF biomarkers such as CXCL13 may have potential utility in the diagnosis of neurosyphilis, including asymptomatic neurosyphilis, but remain investigational</w:t>
            </w:r>
          </w:p>
        </w:tc>
        <w:tc>
          <w:tcPr>
            <w:tcW w:w="0" w:type="auto"/>
            <w:hideMark/>
          </w:tcPr>
          <w:p w14:paraId="1B948463" w14:textId="2AA5F14D" w:rsidR="00BA7AE4" w:rsidRPr="00747AB5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747AB5">
              <w:rPr>
                <w:rFonts w:asciiTheme="minorHAnsi" w:hAnsiTheme="minorHAnsi"/>
                <w:color w:val="000000"/>
                <w:lang w:val="en-US"/>
              </w:rPr>
              <w:t>Observational study/ Retrospective cohorts</w:t>
            </w:r>
          </w:p>
        </w:tc>
        <w:tc>
          <w:tcPr>
            <w:tcW w:w="0" w:type="auto"/>
          </w:tcPr>
          <w:p w14:paraId="6FD6517F" w14:textId="670A3618" w:rsidR="00BA7AE4" w:rsidRPr="00853F30" w:rsidRDefault="00153BE2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1DC502FC" w14:textId="5978BB2D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B</w:t>
            </w:r>
          </w:p>
        </w:tc>
        <w:tc>
          <w:tcPr>
            <w:tcW w:w="0" w:type="auto"/>
          </w:tcPr>
          <w:p w14:paraId="2A44D7B7" w14:textId="0E3B3E33" w:rsidR="00BA7AE4" w:rsidRPr="00853F30" w:rsidRDefault="000129D7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[10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1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–10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4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8E6B1B" w14:paraId="3592CFD0" w14:textId="2E145735" w:rsidTr="000129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AB3869" w14:textId="77777777" w:rsidR="00BA7AE4" w:rsidRPr="008E6B1B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8E6B1B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>Malignant syphilis and other atypical clinical manifestations may occur in PLWH</w:t>
            </w:r>
          </w:p>
        </w:tc>
        <w:tc>
          <w:tcPr>
            <w:tcW w:w="0" w:type="auto"/>
            <w:hideMark/>
          </w:tcPr>
          <w:p w14:paraId="6C9FD6AE" w14:textId="0B19395B" w:rsidR="00BA7AE4" w:rsidRPr="008E6B1B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8E6B1B">
              <w:rPr>
                <w:rFonts w:asciiTheme="minorHAnsi" w:hAnsiTheme="minorHAnsi"/>
                <w:color w:val="000000"/>
                <w:lang w:val="en-US"/>
              </w:rPr>
              <w:t>Case reports / case series</w:t>
            </w:r>
          </w:p>
        </w:tc>
        <w:tc>
          <w:tcPr>
            <w:tcW w:w="0" w:type="auto"/>
          </w:tcPr>
          <w:p w14:paraId="2A2E33E9" w14:textId="7EBE1AAF" w:rsidR="00BA7AE4" w:rsidRPr="00853F30" w:rsidRDefault="00153BE2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4A0786EC" w14:textId="1DB4490C" w:rsidR="00BA7AE4" w:rsidRPr="00853F30" w:rsidRDefault="00BA7AE4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C</w:t>
            </w:r>
          </w:p>
        </w:tc>
        <w:tc>
          <w:tcPr>
            <w:tcW w:w="0" w:type="auto"/>
          </w:tcPr>
          <w:p w14:paraId="5D6249EB" w14:textId="738A7495" w:rsidR="00BA7AE4" w:rsidRPr="00853F30" w:rsidRDefault="00153BE2" w:rsidP="00012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[6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1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  <w:tr w:rsidR="00BA7AE4" w:rsidRPr="00BA7AE4" w14:paraId="2D256D30" w14:textId="1EBAA905" w:rsidTr="00012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3B3255" w14:textId="20D84A18" w:rsidR="00BA7AE4" w:rsidRPr="00BA7AE4" w:rsidRDefault="00BA7AE4" w:rsidP="000129D7">
            <w:pPr>
              <w:jc w:val="center"/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</w:pPr>
            <w:r w:rsidRPr="00BA7AE4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t xml:space="preserve">Syphilis may be associated with immune reconstitution inflammatory syndrome in </w:t>
            </w:r>
            <w:r w:rsidRPr="00BA7AE4">
              <w:rPr>
                <w:rFonts w:asciiTheme="minorHAnsi" w:hAnsiTheme="minorHAnsi"/>
                <w:b w:val="0"/>
                <w:bCs w:val="0"/>
                <w:color w:val="000000"/>
                <w:lang w:val="en-US"/>
              </w:rPr>
              <w:lastRenderedPageBreak/>
              <w:t>PLWH, particularly after initiation of antiretroviral therapy</w:t>
            </w:r>
          </w:p>
        </w:tc>
        <w:tc>
          <w:tcPr>
            <w:tcW w:w="0" w:type="auto"/>
            <w:hideMark/>
          </w:tcPr>
          <w:p w14:paraId="6606C390" w14:textId="77777777" w:rsidR="00BA7AE4" w:rsidRPr="00BA7AE4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lang w:val="en-US"/>
              </w:rPr>
            </w:pPr>
            <w:r w:rsidRPr="00BA7AE4">
              <w:rPr>
                <w:rFonts w:asciiTheme="minorHAnsi" w:hAnsiTheme="minorHAnsi"/>
                <w:color w:val="000000"/>
                <w:lang w:val="en-US"/>
              </w:rPr>
              <w:lastRenderedPageBreak/>
              <w:t>Case reports / case series</w:t>
            </w:r>
          </w:p>
        </w:tc>
        <w:tc>
          <w:tcPr>
            <w:tcW w:w="0" w:type="auto"/>
          </w:tcPr>
          <w:p w14:paraId="563FEB18" w14:textId="5902687D" w:rsidR="00BA7AE4" w:rsidRPr="00853F30" w:rsidRDefault="00153BE2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PLWH</w:t>
            </w:r>
          </w:p>
        </w:tc>
        <w:tc>
          <w:tcPr>
            <w:tcW w:w="0" w:type="auto"/>
          </w:tcPr>
          <w:p w14:paraId="49F7DD79" w14:textId="28630343" w:rsidR="00BA7AE4" w:rsidRPr="00853F30" w:rsidRDefault="00BA7AE4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C</w:t>
            </w:r>
          </w:p>
        </w:tc>
        <w:tc>
          <w:tcPr>
            <w:tcW w:w="0" w:type="auto"/>
          </w:tcPr>
          <w:p w14:paraId="79F2E6D3" w14:textId="660EE9DA" w:rsidR="00BA7AE4" w:rsidRPr="00853F30" w:rsidRDefault="00153BE2" w:rsidP="000129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highlight w:val="yellow"/>
                <w:lang w:val="en-US"/>
              </w:rPr>
            </w:pP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[11</w:t>
            </w:r>
            <w:r w:rsidR="00836BB2">
              <w:rPr>
                <w:rFonts w:asciiTheme="minorHAnsi" w:hAnsiTheme="minorHAnsi"/>
                <w:color w:val="000000"/>
                <w:highlight w:val="yellow"/>
                <w:lang w:val="en-US"/>
              </w:rPr>
              <w:t>5</w:t>
            </w:r>
            <w:r w:rsidRPr="00853F30">
              <w:rPr>
                <w:rFonts w:asciiTheme="minorHAnsi" w:hAnsiTheme="minorHAnsi"/>
                <w:color w:val="000000"/>
                <w:highlight w:val="yellow"/>
                <w:lang w:val="en-US"/>
              </w:rPr>
              <w:t>]</w:t>
            </w:r>
          </w:p>
        </w:tc>
      </w:tr>
    </w:tbl>
    <w:p w14:paraId="4D3F9F58" w14:textId="77777777" w:rsidR="00B21091" w:rsidRPr="00BA7AE4" w:rsidRDefault="00B21091" w:rsidP="000129D7">
      <w:pPr>
        <w:jc w:val="center"/>
        <w:rPr>
          <w:rFonts w:asciiTheme="minorHAnsi" w:hAnsiTheme="minorHAnsi"/>
          <w:lang w:val="en-US"/>
        </w:rPr>
      </w:pPr>
    </w:p>
    <w:p w14:paraId="2685E8BC" w14:textId="4F3DBCE0" w:rsidR="00BA7AE4" w:rsidRPr="00BA7AE4" w:rsidRDefault="004D6FAE" w:rsidP="00BA7AE4">
      <w:pPr>
        <w:rPr>
          <w:rFonts w:asciiTheme="minorHAnsi" w:hAnsiTheme="minorHAnsi"/>
          <w:lang w:val="en-US"/>
        </w:rPr>
      </w:pPr>
      <w:r w:rsidRPr="00BA7AE4">
        <w:rPr>
          <w:rFonts w:asciiTheme="minorHAnsi" w:hAnsiTheme="minorHAnsi"/>
          <w:lang w:val="en-US"/>
        </w:rPr>
        <w:t xml:space="preserve">PLWH: people living with HIV; BPG: benzathine benzylpenicillin; </w:t>
      </w:r>
      <w:r w:rsidR="00894B17">
        <w:rPr>
          <w:rFonts w:asciiTheme="minorHAnsi" w:hAnsiTheme="minorHAnsi"/>
          <w:lang w:val="en-US"/>
        </w:rPr>
        <w:t xml:space="preserve">MSM: </w:t>
      </w:r>
      <w:r w:rsidR="00894B17">
        <w:rPr>
          <w:rFonts w:asciiTheme="minorHAnsi" w:hAnsiTheme="minorHAnsi"/>
          <w:color w:val="000000"/>
        </w:rPr>
        <w:t>m</w:t>
      </w:r>
      <w:r w:rsidR="00894B17" w:rsidRPr="00894B17">
        <w:rPr>
          <w:rFonts w:asciiTheme="minorHAnsi" w:hAnsiTheme="minorHAnsi"/>
          <w:color w:val="000000"/>
        </w:rPr>
        <w:t xml:space="preserve">en </w:t>
      </w:r>
      <w:proofErr w:type="spellStart"/>
      <w:r w:rsidR="00894B17" w:rsidRPr="00894B17">
        <w:rPr>
          <w:rFonts w:asciiTheme="minorHAnsi" w:hAnsiTheme="minorHAnsi"/>
          <w:color w:val="000000"/>
        </w:rPr>
        <w:t>who</w:t>
      </w:r>
      <w:proofErr w:type="spellEnd"/>
      <w:r w:rsidR="00894B17" w:rsidRPr="00894B17">
        <w:rPr>
          <w:rFonts w:asciiTheme="minorHAnsi" w:hAnsiTheme="minorHAnsi"/>
          <w:color w:val="000000"/>
        </w:rPr>
        <w:t xml:space="preserve"> </w:t>
      </w:r>
      <w:proofErr w:type="spellStart"/>
      <w:r w:rsidR="00894B17" w:rsidRPr="00894B17">
        <w:rPr>
          <w:rFonts w:asciiTheme="minorHAnsi" w:hAnsiTheme="minorHAnsi"/>
          <w:color w:val="000000"/>
        </w:rPr>
        <w:t>have</w:t>
      </w:r>
      <w:proofErr w:type="spellEnd"/>
      <w:r w:rsidR="00894B17" w:rsidRPr="00894B17">
        <w:rPr>
          <w:rFonts w:asciiTheme="minorHAnsi" w:hAnsiTheme="minorHAnsi"/>
          <w:color w:val="000000"/>
        </w:rPr>
        <w:t xml:space="preserve"> sex with men</w:t>
      </w:r>
      <w:r w:rsidR="00894B17">
        <w:rPr>
          <w:rFonts w:asciiTheme="minorHAnsi" w:hAnsiTheme="minorHAnsi"/>
          <w:lang w:val="en-US"/>
        </w:rPr>
        <w:t xml:space="preserve">; </w:t>
      </w:r>
      <w:r w:rsidR="008E6B1B" w:rsidRPr="00BA7AE4">
        <w:rPr>
          <w:rFonts w:asciiTheme="minorHAnsi" w:hAnsiTheme="minorHAnsi"/>
          <w:lang w:val="en-US"/>
        </w:rPr>
        <w:t>CSF: cerebral spinal fluid</w:t>
      </w:r>
      <w:r w:rsidRPr="00BA7AE4">
        <w:rPr>
          <w:rFonts w:asciiTheme="minorHAnsi" w:hAnsiTheme="minorHAnsi"/>
          <w:lang w:val="en-US"/>
        </w:rPr>
        <w:t xml:space="preserve">. </w:t>
      </w:r>
    </w:p>
    <w:p w14:paraId="447C6C8D" w14:textId="673AC092" w:rsidR="00BA7AE4" w:rsidRPr="00BA7AE4" w:rsidRDefault="00BA7AE4" w:rsidP="00BA7AE4">
      <w:pPr>
        <w:rPr>
          <w:rFonts w:asciiTheme="minorHAnsi" w:hAnsiTheme="minorHAnsi"/>
          <w:lang w:val="en-US"/>
        </w:rPr>
      </w:pPr>
      <w:r w:rsidRPr="00BA7AE4">
        <w:rPr>
          <w:rFonts w:asciiTheme="minorHAnsi" w:hAnsiTheme="minorHAnsi"/>
          <w:lang w:val="en-US"/>
        </w:rPr>
        <w:t>Evidence grading system: A=RCT in PLWH, B=observational in PLWH or RCT in</w:t>
      </w:r>
      <w:r>
        <w:rPr>
          <w:rFonts w:asciiTheme="minorHAnsi" w:hAnsiTheme="minorHAnsi"/>
          <w:lang w:val="en-US"/>
        </w:rPr>
        <w:t xml:space="preserve"> </w:t>
      </w:r>
      <w:r w:rsidRPr="00BA7AE4">
        <w:rPr>
          <w:rFonts w:asciiTheme="minorHAnsi" w:hAnsiTheme="minorHAnsi"/>
          <w:lang w:val="en-US"/>
        </w:rPr>
        <w:t>general population, C=case series/expert opinion</w:t>
      </w:r>
      <w:r>
        <w:rPr>
          <w:rFonts w:asciiTheme="minorHAnsi" w:hAnsiTheme="minorHAnsi"/>
          <w:lang w:val="en-US"/>
        </w:rPr>
        <w:t xml:space="preserve">. </w:t>
      </w:r>
    </w:p>
    <w:p w14:paraId="555F8BE7" w14:textId="77777777" w:rsidR="00B21091" w:rsidRPr="00B21091" w:rsidRDefault="00B21091" w:rsidP="00B21091">
      <w:pPr>
        <w:rPr>
          <w:lang w:val="en-US"/>
        </w:rPr>
      </w:pPr>
    </w:p>
    <w:sectPr w:rsidR="00B21091" w:rsidRPr="00B21091" w:rsidSect="00134329">
      <w:footerReference w:type="even" r:id="rId8"/>
      <w:footerReference w:type="default" r:id="rId9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C13D2C" w14:textId="77777777" w:rsidR="00180C98" w:rsidRDefault="00180C98" w:rsidP="00134329">
      <w:r>
        <w:separator/>
      </w:r>
    </w:p>
  </w:endnote>
  <w:endnote w:type="continuationSeparator" w:id="0">
    <w:p w14:paraId="79ED230A" w14:textId="77777777" w:rsidR="00180C98" w:rsidRDefault="00180C98" w:rsidP="0013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464621430"/>
      <w:docPartObj>
        <w:docPartGallery w:val="Page Numbers (Bottom of Page)"/>
        <w:docPartUnique/>
      </w:docPartObj>
    </w:sdtPr>
    <w:sdtContent>
      <w:p w14:paraId="008AC1DE" w14:textId="2C6A62A0" w:rsidR="00134329" w:rsidRDefault="00134329" w:rsidP="00533BF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0FFD3945" w14:textId="77777777" w:rsidR="00134329" w:rsidRDefault="00134329" w:rsidP="0013432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467659046"/>
      <w:docPartObj>
        <w:docPartGallery w:val="Page Numbers (Bottom of Page)"/>
        <w:docPartUnique/>
      </w:docPartObj>
    </w:sdtPr>
    <w:sdtContent>
      <w:p w14:paraId="086673F4" w14:textId="4F56647B" w:rsidR="00134329" w:rsidRDefault="00134329" w:rsidP="00533BF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1808104F" w14:textId="77777777" w:rsidR="00134329" w:rsidRDefault="00134329" w:rsidP="0013432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967D60" w14:textId="77777777" w:rsidR="00180C98" w:rsidRDefault="00180C98" w:rsidP="00134329">
      <w:r>
        <w:separator/>
      </w:r>
    </w:p>
  </w:footnote>
  <w:footnote w:type="continuationSeparator" w:id="0">
    <w:p w14:paraId="46013CA9" w14:textId="77777777" w:rsidR="00180C98" w:rsidRDefault="00180C98" w:rsidP="00134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075D62"/>
    <w:multiLevelType w:val="multilevel"/>
    <w:tmpl w:val="611C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5011D6"/>
    <w:multiLevelType w:val="multilevel"/>
    <w:tmpl w:val="C93A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2A1899"/>
    <w:multiLevelType w:val="hybridMultilevel"/>
    <w:tmpl w:val="B6C4ED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357906">
    <w:abstractNumId w:val="2"/>
  </w:num>
  <w:num w:numId="2" w16cid:durableId="1974553995">
    <w:abstractNumId w:val="1"/>
  </w:num>
  <w:num w:numId="3" w16cid:durableId="13811279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21"/>
    <w:rsid w:val="0000186E"/>
    <w:rsid w:val="0000543A"/>
    <w:rsid w:val="000129D7"/>
    <w:rsid w:val="00013373"/>
    <w:rsid w:val="00014321"/>
    <w:rsid w:val="00020389"/>
    <w:rsid w:val="0003069A"/>
    <w:rsid w:val="00033041"/>
    <w:rsid w:val="000360EA"/>
    <w:rsid w:val="00036B5F"/>
    <w:rsid w:val="000403C9"/>
    <w:rsid w:val="00046C80"/>
    <w:rsid w:val="00047425"/>
    <w:rsid w:val="000519D3"/>
    <w:rsid w:val="000531DC"/>
    <w:rsid w:val="000534FB"/>
    <w:rsid w:val="000568D6"/>
    <w:rsid w:val="0005788C"/>
    <w:rsid w:val="000603B9"/>
    <w:rsid w:val="0006306D"/>
    <w:rsid w:val="000715C3"/>
    <w:rsid w:val="0007625C"/>
    <w:rsid w:val="000858C3"/>
    <w:rsid w:val="00085F62"/>
    <w:rsid w:val="00086B11"/>
    <w:rsid w:val="0009373E"/>
    <w:rsid w:val="00095919"/>
    <w:rsid w:val="00095EB0"/>
    <w:rsid w:val="000A19F9"/>
    <w:rsid w:val="000A3CFE"/>
    <w:rsid w:val="000B7E76"/>
    <w:rsid w:val="000C16F8"/>
    <w:rsid w:val="000C7E8F"/>
    <w:rsid w:val="000D1A0D"/>
    <w:rsid w:val="000D3D4F"/>
    <w:rsid w:val="000D6153"/>
    <w:rsid w:val="000D6E53"/>
    <w:rsid w:val="000E2536"/>
    <w:rsid w:val="000E2EB2"/>
    <w:rsid w:val="000F0F85"/>
    <w:rsid w:val="000F5106"/>
    <w:rsid w:val="001000CD"/>
    <w:rsid w:val="00102AFF"/>
    <w:rsid w:val="001044AA"/>
    <w:rsid w:val="00124101"/>
    <w:rsid w:val="00124487"/>
    <w:rsid w:val="001249C5"/>
    <w:rsid w:val="001276F5"/>
    <w:rsid w:val="001305B0"/>
    <w:rsid w:val="001325CD"/>
    <w:rsid w:val="00133FDF"/>
    <w:rsid w:val="00134329"/>
    <w:rsid w:val="001355AF"/>
    <w:rsid w:val="001415D7"/>
    <w:rsid w:val="00142684"/>
    <w:rsid w:val="001430B3"/>
    <w:rsid w:val="00147494"/>
    <w:rsid w:val="00152753"/>
    <w:rsid w:val="001534DA"/>
    <w:rsid w:val="00153BE2"/>
    <w:rsid w:val="00166945"/>
    <w:rsid w:val="00176606"/>
    <w:rsid w:val="00176F05"/>
    <w:rsid w:val="00180C98"/>
    <w:rsid w:val="00182333"/>
    <w:rsid w:val="00184BCA"/>
    <w:rsid w:val="001907C1"/>
    <w:rsid w:val="00190E21"/>
    <w:rsid w:val="00196162"/>
    <w:rsid w:val="001A2CAC"/>
    <w:rsid w:val="001A5C14"/>
    <w:rsid w:val="001A615F"/>
    <w:rsid w:val="001B180F"/>
    <w:rsid w:val="001B2EA7"/>
    <w:rsid w:val="001B4153"/>
    <w:rsid w:val="001C1DD8"/>
    <w:rsid w:val="001C585E"/>
    <w:rsid w:val="001C6A62"/>
    <w:rsid w:val="001D04A2"/>
    <w:rsid w:val="001D5D79"/>
    <w:rsid w:val="001D5DBE"/>
    <w:rsid w:val="001D6395"/>
    <w:rsid w:val="001D7472"/>
    <w:rsid w:val="001E6F87"/>
    <w:rsid w:val="001E70F4"/>
    <w:rsid w:val="001F2529"/>
    <w:rsid w:val="001F5706"/>
    <w:rsid w:val="0020020D"/>
    <w:rsid w:val="002063D2"/>
    <w:rsid w:val="00211496"/>
    <w:rsid w:val="0021283B"/>
    <w:rsid w:val="002132ED"/>
    <w:rsid w:val="00215ADC"/>
    <w:rsid w:val="0022318E"/>
    <w:rsid w:val="00231243"/>
    <w:rsid w:val="00241B53"/>
    <w:rsid w:val="00241DF8"/>
    <w:rsid w:val="002456F8"/>
    <w:rsid w:val="00246844"/>
    <w:rsid w:val="00247225"/>
    <w:rsid w:val="0025212A"/>
    <w:rsid w:val="00257944"/>
    <w:rsid w:val="002633C1"/>
    <w:rsid w:val="00275D3B"/>
    <w:rsid w:val="00280852"/>
    <w:rsid w:val="002822A8"/>
    <w:rsid w:val="002A0B0A"/>
    <w:rsid w:val="002A540E"/>
    <w:rsid w:val="002B1B3A"/>
    <w:rsid w:val="002B2195"/>
    <w:rsid w:val="002B4E70"/>
    <w:rsid w:val="002C5C5C"/>
    <w:rsid w:val="002C7E71"/>
    <w:rsid w:val="002E0830"/>
    <w:rsid w:val="002E4403"/>
    <w:rsid w:val="00300DB0"/>
    <w:rsid w:val="00305483"/>
    <w:rsid w:val="003079CF"/>
    <w:rsid w:val="003107F9"/>
    <w:rsid w:val="00313594"/>
    <w:rsid w:val="00313D27"/>
    <w:rsid w:val="003264DC"/>
    <w:rsid w:val="00327972"/>
    <w:rsid w:val="00327F94"/>
    <w:rsid w:val="00331CA4"/>
    <w:rsid w:val="00335C6F"/>
    <w:rsid w:val="003472F3"/>
    <w:rsid w:val="00357C68"/>
    <w:rsid w:val="003651EF"/>
    <w:rsid w:val="00365420"/>
    <w:rsid w:val="003745D0"/>
    <w:rsid w:val="00386913"/>
    <w:rsid w:val="00387E98"/>
    <w:rsid w:val="00390A63"/>
    <w:rsid w:val="00391BDB"/>
    <w:rsid w:val="00392C22"/>
    <w:rsid w:val="00394C1D"/>
    <w:rsid w:val="003A150A"/>
    <w:rsid w:val="003A6500"/>
    <w:rsid w:val="003A7AB8"/>
    <w:rsid w:val="003B13FA"/>
    <w:rsid w:val="003B2C63"/>
    <w:rsid w:val="003C027B"/>
    <w:rsid w:val="003C07BE"/>
    <w:rsid w:val="003C4106"/>
    <w:rsid w:val="003D58B1"/>
    <w:rsid w:val="003D6D2B"/>
    <w:rsid w:val="003D76E4"/>
    <w:rsid w:val="003E27DB"/>
    <w:rsid w:val="003E47C8"/>
    <w:rsid w:val="003F09FA"/>
    <w:rsid w:val="003F1B44"/>
    <w:rsid w:val="003F3C3A"/>
    <w:rsid w:val="00404FE1"/>
    <w:rsid w:val="004071CD"/>
    <w:rsid w:val="00410E49"/>
    <w:rsid w:val="00415105"/>
    <w:rsid w:val="00416FCB"/>
    <w:rsid w:val="004177F8"/>
    <w:rsid w:val="004206E8"/>
    <w:rsid w:val="0042170C"/>
    <w:rsid w:val="00425340"/>
    <w:rsid w:val="00427805"/>
    <w:rsid w:val="004347BA"/>
    <w:rsid w:val="004442F1"/>
    <w:rsid w:val="0045281F"/>
    <w:rsid w:val="00457345"/>
    <w:rsid w:val="00467F88"/>
    <w:rsid w:val="00471A1D"/>
    <w:rsid w:val="004838E5"/>
    <w:rsid w:val="004852F9"/>
    <w:rsid w:val="0049066D"/>
    <w:rsid w:val="00496CCF"/>
    <w:rsid w:val="004A7876"/>
    <w:rsid w:val="004A7ADF"/>
    <w:rsid w:val="004B35C5"/>
    <w:rsid w:val="004B4D3B"/>
    <w:rsid w:val="004B58CE"/>
    <w:rsid w:val="004B5F14"/>
    <w:rsid w:val="004C2DB8"/>
    <w:rsid w:val="004C3C7A"/>
    <w:rsid w:val="004D422E"/>
    <w:rsid w:val="004D561F"/>
    <w:rsid w:val="004D6A08"/>
    <w:rsid w:val="004D6FAE"/>
    <w:rsid w:val="004D7573"/>
    <w:rsid w:val="004E054C"/>
    <w:rsid w:val="004E0FFD"/>
    <w:rsid w:val="004F102D"/>
    <w:rsid w:val="004F4840"/>
    <w:rsid w:val="004F5208"/>
    <w:rsid w:val="00512C4B"/>
    <w:rsid w:val="00514043"/>
    <w:rsid w:val="00515D76"/>
    <w:rsid w:val="00525918"/>
    <w:rsid w:val="005263ED"/>
    <w:rsid w:val="00533EBE"/>
    <w:rsid w:val="005355DE"/>
    <w:rsid w:val="00551D29"/>
    <w:rsid w:val="00554323"/>
    <w:rsid w:val="00567708"/>
    <w:rsid w:val="005679AF"/>
    <w:rsid w:val="00582E9A"/>
    <w:rsid w:val="00583A54"/>
    <w:rsid w:val="00587E05"/>
    <w:rsid w:val="0059034B"/>
    <w:rsid w:val="00590555"/>
    <w:rsid w:val="005917EB"/>
    <w:rsid w:val="005959DA"/>
    <w:rsid w:val="00595E55"/>
    <w:rsid w:val="00596C64"/>
    <w:rsid w:val="005A6442"/>
    <w:rsid w:val="005B0941"/>
    <w:rsid w:val="005B40BF"/>
    <w:rsid w:val="005B5845"/>
    <w:rsid w:val="005B6331"/>
    <w:rsid w:val="005C38EA"/>
    <w:rsid w:val="005C4D84"/>
    <w:rsid w:val="005D1445"/>
    <w:rsid w:val="005D1E2D"/>
    <w:rsid w:val="005E5B05"/>
    <w:rsid w:val="005E6160"/>
    <w:rsid w:val="005E6FCE"/>
    <w:rsid w:val="005F7066"/>
    <w:rsid w:val="00601E46"/>
    <w:rsid w:val="006067ED"/>
    <w:rsid w:val="00614090"/>
    <w:rsid w:val="006143B8"/>
    <w:rsid w:val="00617D2C"/>
    <w:rsid w:val="006248A4"/>
    <w:rsid w:val="00626561"/>
    <w:rsid w:val="006320EF"/>
    <w:rsid w:val="006321FE"/>
    <w:rsid w:val="00632241"/>
    <w:rsid w:val="0063552A"/>
    <w:rsid w:val="00642686"/>
    <w:rsid w:val="00651449"/>
    <w:rsid w:val="006514AC"/>
    <w:rsid w:val="00651BA1"/>
    <w:rsid w:val="006544A2"/>
    <w:rsid w:val="006561E6"/>
    <w:rsid w:val="00663784"/>
    <w:rsid w:val="00665718"/>
    <w:rsid w:val="006674D2"/>
    <w:rsid w:val="006723C3"/>
    <w:rsid w:val="00680BD6"/>
    <w:rsid w:val="00687FCF"/>
    <w:rsid w:val="00690B2E"/>
    <w:rsid w:val="00692F4F"/>
    <w:rsid w:val="006A225E"/>
    <w:rsid w:val="006B4124"/>
    <w:rsid w:val="006C4395"/>
    <w:rsid w:val="006C43EA"/>
    <w:rsid w:val="006C4CE7"/>
    <w:rsid w:val="006C6A19"/>
    <w:rsid w:val="006E7421"/>
    <w:rsid w:val="006F11E1"/>
    <w:rsid w:val="006F14E1"/>
    <w:rsid w:val="006F1665"/>
    <w:rsid w:val="006F2F0F"/>
    <w:rsid w:val="006F615B"/>
    <w:rsid w:val="0070024B"/>
    <w:rsid w:val="0070398F"/>
    <w:rsid w:val="00706E51"/>
    <w:rsid w:val="00712BC1"/>
    <w:rsid w:val="007152CF"/>
    <w:rsid w:val="00717ED1"/>
    <w:rsid w:val="00724EE0"/>
    <w:rsid w:val="00730141"/>
    <w:rsid w:val="00737A1F"/>
    <w:rsid w:val="00740E91"/>
    <w:rsid w:val="00741EF2"/>
    <w:rsid w:val="00744182"/>
    <w:rsid w:val="00747653"/>
    <w:rsid w:val="00747AB5"/>
    <w:rsid w:val="00761DFE"/>
    <w:rsid w:val="007652A7"/>
    <w:rsid w:val="00771B2E"/>
    <w:rsid w:val="00771DD8"/>
    <w:rsid w:val="00772CB1"/>
    <w:rsid w:val="00774478"/>
    <w:rsid w:val="00785C4D"/>
    <w:rsid w:val="00786711"/>
    <w:rsid w:val="00792A39"/>
    <w:rsid w:val="00794335"/>
    <w:rsid w:val="00794FC5"/>
    <w:rsid w:val="0079629B"/>
    <w:rsid w:val="007B7D42"/>
    <w:rsid w:val="007C012E"/>
    <w:rsid w:val="007C029F"/>
    <w:rsid w:val="007C0DEB"/>
    <w:rsid w:val="007C354D"/>
    <w:rsid w:val="007C3BA1"/>
    <w:rsid w:val="007D3663"/>
    <w:rsid w:val="007D47CC"/>
    <w:rsid w:val="007D781B"/>
    <w:rsid w:val="008035ED"/>
    <w:rsid w:val="0080447A"/>
    <w:rsid w:val="0080799F"/>
    <w:rsid w:val="00807CD2"/>
    <w:rsid w:val="008165DE"/>
    <w:rsid w:val="00825717"/>
    <w:rsid w:val="00825F06"/>
    <w:rsid w:val="008264B1"/>
    <w:rsid w:val="00833BEA"/>
    <w:rsid w:val="00836BB2"/>
    <w:rsid w:val="008512D0"/>
    <w:rsid w:val="00853F30"/>
    <w:rsid w:val="00862025"/>
    <w:rsid w:val="00864C7C"/>
    <w:rsid w:val="00866FC9"/>
    <w:rsid w:val="008742FA"/>
    <w:rsid w:val="00881358"/>
    <w:rsid w:val="008813A0"/>
    <w:rsid w:val="00886032"/>
    <w:rsid w:val="00894B17"/>
    <w:rsid w:val="00894C65"/>
    <w:rsid w:val="008A17D2"/>
    <w:rsid w:val="008A69D1"/>
    <w:rsid w:val="008B20A5"/>
    <w:rsid w:val="008B2380"/>
    <w:rsid w:val="008B385F"/>
    <w:rsid w:val="008B601F"/>
    <w:rsid w:val="008B77CA"/>
    <w:rsid w:val="008C186F"/>
    <w:rsid w:val="008C1FEB"/>
    <w:rsid w:val="008C5264"/>
    <w:rsid w:val="008D137E"/>
    <w:rsid w:val="008D1B4E"/>
    <w:rsid w:val="008D1D55"/>
    <w:rsid w:val="008D27FA"/>
    <w:rsid w:val="008D2B6A"/>
    <w:rsid w:val="008D2F00"/>
    <w:rsid w:val="008D6359"/>
    <w:rsid w:val="008E34A9"/>
    <w:rsid w:val="008E3B05"/>
    <w:rsid w:val="008E6B1B"/>
    <w:rsid w:val="008E7CA8"/>
    <w:rsid w:val="008F623C"/>
    <w:rsid w:val="008F6B52"/>
    <w:rsid w:val="008F750A"/>
    <w:rsid w:val="009033D0"/>
    <w:rsid w:val="00903CCD"/>
    <w:rsid w:val="00910EC4"/>
    <w:rsid w:val="0092075E"/>
    <w:rsid w:val="009226E4"/>
    <w:rsid w:val="00925242"/>
    <w:rsid w:val="00925B8E"/>
    <w:rsid w:val="00935ED3"/>
    <w:rsid w:val="00953477"/>
    <w:rsid w:val="009558E1"/>
    <w:rsid w:val="00955EED"/>
    <w:rsid w:val="0096131D"/>
    <w:rsid w:val="00966330"/>
    <w:rsid w:val="00973E7F"/>
    <w:rsid w:val="00987422"/>
    <w:rsid w:val="009A26E1"/>
    <w:rsid w:val="009A3EFA"/>
    <w:rsid w:val="009A68FC"/>
    <w:rsid w:val="009B2216"/>
    <w:rsid w:val="009B79C0"/>
    <w:rsid w:val="009B7ABE"/>
    <w:rsid w:val="009C19D2"/>
    <w:rsid w:val="009C3632"/>
    <w:rsid w:val="009C5DD8"/>
    <w:rsid w:val="009C7AED"/>
    <w:rsid w:val="009E740E"/>
    <w:rsid w:val="009F2C79"/>
    <w:rsid w:val="009F33E4"/>
    <w:rsid w:val="009F7759"/>
    <w:rsid w:val="00A01A93"/>
    <w:rsid w:val="00A070FA"/>
    <w:rsid w:val="00A106BD"/>
    <w:rsid w:val="00A12239"/>
    <w:rsid w:val="00A305F4"/>
    <w:rsid w:val="00A306C2"/>
    <w:rsid w:val="00A32FA9"/>
    <w:rsid w:val="00A36330"/>
    <w:rsid w:val="00A44032"/>
    <w:rsid w:val="00A4424D"/>
    <w:rsid w:val="00A62765"/>
    <w:rsid w:val="00A71796"/>
    <w:rsid w:val="00A73A57"/>
    <w:rsid w:val="00A74F34"/>
    <w:rsid w:val="00A77646"/>
    <w:rsid w:val="00A802D9"/>
    <w:rsid w:val="00A82D21"/>
    <w:rsid w:val="00A906C1"/>
    <w:rsid w:val="00A91935"/>
    <w:rsid w:val="00A939DA"/>
    <w:rsid w:val="00AA1E77"/>
    <w:rsid w:val="00AA74EA"/>
    <w:rsid w:val="00AB222C"/>
    <w:rsid w:val="00AB5CB5"/>
    <w:rsid w:val="00AB5DB6"/>
    <w:rsid w:val="00AC1226"/>
    <w:rsid w:val="00AC3169"/>
    <w:rsid w:val="00AD4D7F"/>
    <w:rsid w:val="00AD7C6D"/>
    <w:rsid w:val="00AE1D92"/>
    <w:rsid w:val="00AF2945"/>
    <w:rsid w:val="00AF4ECF"/>
    <w:rsid w:val="00AF6C89"/>
    <w:rsid w:val="00B0609F"/>
    <w:rsid w:val="00B07B48"/>
    <w:rsid w:val="00B11F18"/>
    <w:rsid w:val="00B17233"/>
    <w:rsid w:val="00B20B6F"/>
    <w:rsid w:val="00B21091"/>
    <w:rsid w:val="00B24463"/>
    <w:rsid w:val="00B24EDD"/>
    <w:rsid w:val="00B30380"/>
    <w:rsid w:val="00B311C9"/>
    <w:rsid w:val="00B31763"/>
    <w:rsid w:val="00B34B7C"/>
    <w:rsid w:val="00B41ACF"/>
    <w:rsid w:val="00B43D5A"/>
    <w:rsid w:val="00B45AAD"/>
    <w:rsid w:val="00B513E3"/>
    <w:rsid w:val="00B62973"/>
    <w:rsid w:val="00B6445B"/>
    <w:rsid w:val="00B64CE4"/>
    <w:rsid w:val="00B6557E"/>
    <w:rsid w:val="00B7017F"/>
    <w:rsid w:val="00B72D82"/>
    <w:rsid w:val="00B758F4"/>
    <w:rsid w:val="00B85E46"/>
    <w:rsid w:val="00B86361"/>
    <w:rsid w:val="00B9238E"/>
    <w:rsid w:val="00B9239A"/>
    <w:rsid w:val="00B92CA8"/>
    <w:rsid w:val="00B9346F"/>
    <w:rsid w:val="00B96066"/>
    <w:rsid w:val="00B96F99"/>
    <w:rsid w:val="00BA0011"/>
    <w:rsid w:val="00BA0538"/>
    <w:rsid w:val="00BA1809"/>
    <w:rsid w:val="00BA5C05"/>
    <w:rsid w:val="00BA7AE4"/>
    <w:rsid w:val="00BC031F"/>
    <w:rsid w:val="00BC0E1B"/>
    <w:rsid w:val="00BC483D"/>
    <w:rsid w:val="00BD0D13"/>
    <w:rsid w:val="00BD2703"/>
    <w:rsid w:val="00BD3994"/>
    <w:rsid w:val="00BD63DD"/>
    <w:rsid w:val="00BD743B"/>
    <w:rsid w:val="00BD7A45"/>
    <w:rsid w:val="00BE0BC5"/>
    <w:rsid w:val="00BF4295"/>
    <w:rsid w:val="00BF7017"/>
    <w:rsid w:val="00C1116E"/>
    <w:rsid w:val="00C132E8"/>
    <w:rsid w:val="00C24B30"/>
    <w:rsid w:val="00C256B3"/>
    <w:rsid w:val="00C34209"/>
    <w:rsid w:val="00C34695"/>
    <w:rsid w:val="00C36741"/>
    <w:rsid w:val="00C36754"/>
    <w:rsid w:val="00C405CB"/>
    <w:rsid w:val="00C44AAE"/>
    <w:rsid w:val="00C60B4A"/>
    <w:rsid w:val="00C62136"/>
    <w:rsid w:val="00C62763"/>
    <w:rsid w:val="00C81049"/>
    <w:rsid w:val="00C81328"/>
    <w:rsid w:val="00C817F7"/>
    <w:rsid w:val="00C86B8E"/>
    <w:rsid w:val="00C953D6"/>
    <w:rsid w:val="00CA2473"/>
    <w:rsid w:val="00CA5A22"/>
    <w:rsid w:val="00CA71BC"/>
    <w:rsid w:val="00CB4D4C"/>
    <w:rsid w:val="00CB5ED4"/>
    <w:rsid w:val="00CB5FE8"/>
    <w:rsid w:val="00CB6488"/>
    <w:rsid w:val="00CC4EA0"/>
    <w:rsid w:val="00CC5210"/>
    <w:rsid w:val="00CC56D9"/>
    <w:rsid w:val="00CC5724"/>
    <w:rsid w:val="00CD4C16"/>
    <w:rsid w:val="00CD759C"/>
    <w:rsid w:val="00CE1B18"/>
    <w:rsid w:val="00CE2292"/>
    <w:rsid w:val="00CE4709"/>
    <w:rsid w:val="00CE4D84"/>
    <w:rsid w:val="00CE5796"/>
    <w:rsid w:val="00CE6D96"/>
    <w:rsid w:val="00CF0D83"/>
    <w:rsid w:val="00CF4AAC"/>
    <w:rsid w:val="00CF5BC2"/>
    <w:rsid w:val="00CF71FC"/>
    <w:rsid w:val="00D01023"/>
    <w:rsid w:val="00D02701"/>
    <w:rsid w:val="00D027E8"/>
    <w:rsid w:val="00D10A3A"/>
    <w:rsid w:val="00D11651"/>
    <w:rsid w:val="00D13A28"/>
    <w:rsid w:val="00D16614"/>
    <w:rsid w:val="00D16B91"/>
    <w:rsid w:val="00D23A66"/>
    <w:rsid w:val="00D24646"/>
    <w:rsid w:val="00D25B51"/>
    <w:rsid w:val="00D329A4"/>
    <w:rsid w:val="00D40F15"/>
    <w:rsid w:val="00D437B4"/>
    <w:rsid w:val="00D523D1"/>
    <w:rsid w:val="00D56745"/>
    <w:rsid w:val="00D62DA7"/>
    <w:rsid w:val="00D65BFE"/>
    <w:rsid w:val="00D74F9C"/>
    <w:rsid w:val="00D75AE7"/>
    <w:rsid w:val="00D76063"/>
    <w:rsid w:val="00D908DB"/>
    <w:rsid w:val="00D9420B"/>
    <w:rsid w:val="00DA03AC"/>
    <w:rsid w:val="00DA0EF4"/>
    <w:rsid w:val="00DA4FF1"/>
    <w:rsid w:val="00DA72A0"/>
    <w:rsid w:val="00DA7A96"/>
    <w:rsid w:val="00DA7ABC"/>
    <w:rsid w:val="00DB1B91"/>
    <w:rsid w:val="00DB5DF9"/>
    <w:rsid w:val="00DC0EDD"/>
    <w:rsid w:val="00DC31DB"/>
    <w:rsid w:val="00DC41DB"/>
    <w:rsid w:val="00DD0605"/>
    <w:rsid w:val="00DD6E95"/>
    <w:rsid w:val="00DE217B"/>
    <w:rsid w:val="00DE33E0"/>
    <w:rsid w:val="00DE51C6"/>
    <w:rsid w:val="00DE573E"/>
    <w:rsid w:val="00DE6755"/>
    <w:rsid w:val="00DF18B2"/>
    <w:rsid w:val="00DF1B67"/>
    <w:rsid w:val="00E07C24"/>
    <w:rsid w:val="00E10D6F"/>
    <w:rsid w:val="00E12FE5"/>
    <w:rsid w:val="00E14B8C"/>
    <w:rsid w:val="00E26FCE"/>
    <w:rsid w:val="00E32252"/>
    <w:rsid w:val="00E3330B"/>
    <w:rsid w:val="00E35D6B"/>
    <w:rsid w:val="00E427C2"/>
    <w:rsid w:val="00E448CF"/>
    <w:rsid w:val="00E47BAC"/>
    <w:rsid w:val="00E51414"/>
    <w:rsid w:val="00E51D59"/>
    <w:rsid w:val="00E60273"/>
    <w:rsid w:val="00E64001"/>
    <w:rsid w:val="00E70770"/>
    <w:rsid w:val="00E71591"/>
    <w:rsid w:val="00E7466C"/>
    <w:rsid w:val="00E778E4"/>
    <w:rsid w:val="00E833DC"/>
    <w:rsid w:val="00E904EA"/>
    <w:rsid w:val="00E930B1"/>
    <w:rsid w:val="00E94585"/>
    <w:rsid w:val="00EA1102"/>
    <w:rsid w:val="00EA751E"/>
    <w:rsid w:val="00EA7D8E"/>
    <w:rsid w:val="00EB3773"/>
    <w:rsid w:val="00EC7FB6"/>
    <w:rsid w:val="00ED0139"/>
    <w:rsid w:val="00ED1D36"/>
    <w:rsid w:val="00ED32BF"/>
    <w:rsid w:val="00ED4517"/>
    <w:rsid w:val="00ED47DC"/>
    <w:rsid w:val="00ED6457"/>
    <w:rsid w:val="00ED7A3D"/>
    <w:rsid w:val="00EE207E"/>
    <w:rsid w:val="00EE347B"/>
    <w:rsid w:val="00EE5AA4"/>
    <w:rsid w:val="00EE5B0B"/>
    <w:rsid w:val="00EE5B10"/>
    <w:rsid w:val="00EE627D"/>
    <w:rsid w:val="00EF4276"/>
    <w:rsid w:val="00EF4611"/>
    <w:rsid w:val="00EF5171"/>
    <w:rsid w:val="00EF661C"/>
    <w:rsid w:val="00F11313"/>
    <w:rsid w:val="00F132A6"/>
    <w:rsid w:val="00F13E57"/>
    <w:rsid w:val="00F14F83"/>
    <w:rsid w:val="00F1522D"/>
    <w:rsid w:val="00F259F0"/>
    <w:rsid w:val="00F35B08"/>
    <w:rsid w:val="00F3739B"/>
    <w:rsid w:val="00F400C0"/>
    <w:rsid w:val="00F455C3"/>
    <w:rsid w:val="00F62614"/>
    <w:rsid w:val="00F6399F"/>
    <w:rsid w:val="00F639FE"/>
    <w:rsid w:val="00F63DB4"/>
    <w:rsid w:val="00F6555C"/>
    <w:rsid w:val="00F65B4A"/>
    <w:rsid w:val="00F7008A"/>
    <w:rsid w:val="00F70BDA"/>
    <w:rsid w:val="00F716ED"/>
    <w:rsid w:val="00F7187C"/>
    <w:rsid w:val="00F72F6C"/>
    <w:rsid w:val="00F76452"/>
    <w:rsid w:val="00F7797D"/>
    <w:rsid w:val="00F96AE8"/>
    <w:rsid w:val="00FA06B8"/>
    <w:rsid w:val="00FA0C1B"/>
    <w:rsid w:val="00FA3298"/>
    <w:rsid w:val="00FA6AC7"/>
    <w:rsid w:val="00FB0B09"/>
    <w:rsid w:val="00FB15F4"/>
    <w:rsid w:val="00FB2A67"/>
    <w:rsid w:val="00FB52A6"/>
    <w:rsid w:val="00FB547D"/>
    <w:rsid w:val="00FC5B20"/>
    <w:rsid w:val="00FD1DDC"/>
    <w:rsid w:val="00FD54FB"/>
    <w:rsid w:val="00FE123F"/>
    <w:rsid w:val="00FE1796"/>
    <w:rsid w:val="00FE29EF"/>
    <w:rsid w:val="00FE3511"/>
    <w:rsid w:val="00FE40BA"/>
    <w:rsid w:val="00FE4C26"/>
    <w:rsid w:val="00FE728A"/>
    <w:rsid w:val="00FE7358"/>
    <w:rsid w:val="00FE7B5D"/>
    <w:rsid w:val="00FF1934"/>
    <w:rsid w:val="00FF33B4"/>
    <w:rsid w:val="00FF4BEA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DFA8"/>
  <w15:chartTrackingRefBased/>
  <w15:docId w15:val="{71F57A31-80CC-9A41-8E0D-7E08B312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6B1B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2D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D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2D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D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2D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2D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2D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2D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2D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2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2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D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2D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2D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2D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2D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2D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2D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82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2D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2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2D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2D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2D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82D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2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2D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2D21"/>
    <w:rPr>
      <w:b/>
      <w:bCs/>
      <w:smallCaps/>
      <w:color w:val="0F4761" w:themeColor="accent1" w:themeShade="BF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134329"/>
  </w:style>
  <w:style w:type="paragraph" w:styleId="Pidipagina">
    <w:name w:val="footer"/>
    <w:basedOn w:val="Normale"/>
    <w:link w:val="PidipaginaCarattere"/>
    <w:uiPriority w:val="99"/>
    <w:unhideWhenUsed/>
    <w:rsid w:val="001343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329"/>
  </w:style>
  <w:style w:type="character" w:styleId="Numeropagina">
    <w:name w:val="page number"/>
    <w:basedOn w:val="Carpredefinitoparagrafo"/>
    <w:uiPriority w:val="99"/>
    <w:semiHidden/>
    <w:unhideWhenUsed/>
    <w:rsid w:val="00134329"/>
  </w:style>
  <w:style w:type="paragraph" w:styleId="Bibliografia">
    <w:name w:val="Bibliography"/>
    <w:basedOn w:val="Normale"/>
    <w:next w:val="Normale"/>
    <w:uiPriority w:val="37"/>
    <w:unhideWhenUsed/>
    <w:rsid w:val="003B2C63"/>
    <w:pPr>
      <w:tabs>
        <w:tab w:val="left" w:pos="380"/>
      </w:tabs>
      <w:spacing w:after="24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p1">
    <w:name w:val="p1"/>
    <w:basedOn w:val="Normale"/>
    <w:rsid w:val="00A12239"/>
    <w:rPr>
      <w:rFonts w:ascii="Helvetica" w:hAnsi="Helvetica"/>
      <w:color w:val="000000"/>
      <w:sz w:val="20"/>
      <w:szCs w:val="20"/>
    </w:rPr>
  </w:style>
  <w:style w:type="paragraph" w:customStyle="1" w:styleId="p2">
    <w:name w:val="p2"/>
    <w:basedOn w:val="Normale"/>
    <w:rsid w:val="00A12239"/>
    <w:rPr>
      <w:rFonts w:ascii="Helvetica" w:hAnsi="Helvetica"/>
      <w:color w:val="000000"/>
      <w:sz w:val="16"/>
      <w:szCs w:val="16"/>
    </w:rPr>
  </w:style>
  <w:style w:type="character" w:customStyle="1" w:styleId="s1">
    <w:name w:val="s1"/>
    <w:basedOn w:val="Carpredefinitoparagrafo"/>
    <w:rsid w:val="00A12239"/>
    <w:rPr>
      <w:rFonts w:ascii="Times" w:hAnsi="Times" w:hint="default"/>
      <w:sz w:val="2"/>
      <w:szCs w:val="2"/>
    </w:rPr>
  </w:style>
  <w:style w:type="character" w:customStyle="1" w:styleId="s2">
    <w:name w:val="s2"/>
    <w:basedOn w:val="Carpredefinitoparagrafo"/>
    <w:rsid w:val="00A12239"/>
    <w:rPr>
      <w:rFonts w:ascii="Helvetica" w:hAnsi="Helvetica" w:hint="default"/>
      <w:sz w:val="8"/>
      <w:szCs w:val="8"/>
    </w:rPr>
  </w:style>
  <w:style w:type="character" w:customStyle="1" w:styleId="apple-converted-space">
    <w:name w:val="apple-converted-space"/>
    <w:basedOn w:val="Carpredefinitoparagrafo"/>
    <w:rsid w:val="00A12239"/>
  </w:style>
  <w:style w:type="paragraph" w:styleId="NormaleWeb">
    <w:name w:val="Normal (Web)"/>
    <w:basedOn w:val="Normale"/>
    <w:uiPriority w:val="99"/>
    <w:unhideWhenUsed/>
    <w:rsid w:val="00587E05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F400C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00C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5483"/>
    <w:rPr>
      <w:color w:val="96607D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1D04A2"/>
    <w:rPr>
      <w:b/>
      <w:bCs/>
    </w:rPr>
  </w:style>
  <w:style w:type="character" w:styleId="Enfasicorsivo">
    <w:name w:val="Emphasis"/>
    <w:basedOn w:val="Carpredefinitoparagrafo"/>
    <w:uiPriority w:val="20"/>
    <w:qFormat/>
    <w:rsid w:val="001D04A2"/>
    <w:rPr>
      <w:i/>
      <w:iCs/>
    </w:rPr>
  </w:style>
  <w:style w:type="character" w:customStyle="1" w:styleId="whitespace-normal">
    <w:name w:val="whitespace-normal"/>
    <w:basedOn w:val="Carpredefinitoparagrafo"/>
    <w:rsid w:val="001D04A2"/>
  </w:style>
  <w:style w:type="table" w:styleId="Grigliatabella">
    <w:name w:val="Table Grid"/>
    <w:basedOn w:val="Tabellanormale"/>
    <w:uiPriority w:val="39"/>
    <w:rsid w:val="00C34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513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1">
    <w:name w:val="Plain Table 1"/>
    <w:basedOn w:val="Tabellanormale"/>
    <w:uiPriority w:val="41"/>
    <w:rsid w:val="00B513E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B513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3">
    <w:name w:val="Plain Table 3"/>
    <w:basedOn w:val="Tabellanormale"/>
    <w:uiPriority w:val="43"/>
    <w:rsid w:val="00B513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B513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B513E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CF08AD-4E46-B24A-A76E-F58CD3358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 PIPITO'</cp:lastModifiedBy>
  <cp:revision>5</cp:revision>
  <dcterms:created xsi:type="dcterms:W3CDTF">2026-10-04T08:51:00Z</dcterms:created>
  <dcterms:modified xsi:type="dcterms:W3CDTF">2026-10-04T09:10:00Z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zotero-version="9.0.4"&gt;&lt;session id="7vXbZZx3"/&gt;&lt;style id="http://www.zotero.org/styles/aids-research-and-therapy" hasBibliography="1" bibliographyStyleHasBeenSet="1"/&gt;&lt;prefs&gt;&lt;pref name="fieldType" value="Field"/&gt;&lt;pref name="delayCit</vt:lpwstr>
  </property>
  <property fmtid="{D5CDD505-2E9C-101B-9397-08002B2CF9AE}" pid="3" name="GrammarlyDocumentId">
    <vt:lpwstr>3dc55130-52ea-42b8-9ae7-04098c334974</vt:lpwstr>
  </property>
  <property fmtid="{D5CDD505-2E9C-101B-9397-08002B2CF9AE}" pid="4" name="ZOTERO_PREF_2">
    <vt:lpwstr>ationUpdates" value="true"/&gt;&lt;pref name="dontAskDelayCitationUpdates" value="true"/&gt;&lt;/prefs&gt;&lt;/data&gt;</vt:lpwstr>
  </property>
</Properties>
</file>