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F6DD" w14:textId="664EDA8C" w:rsidR="00675EF1" w:rsidRDefault="00675EF1" w:rsidP="00675E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1298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3168144B" w14:textId="262C5B92" w:rsidR="006A5CB8" w:rsidRPr="006A5CB8" w:rsidRDefault="006A5CB8" w:rsidP="006A5CB8">
      <w:pPr>
        <w:jc w:val="both"/>
        <w:rPr>
          <w:rFonts w:ascii="Times New Roman" w:hAnsi="Times New Roman" w:cs="Times New Roman"/>
          <w:sz w:val="24"/>
          <w:szCs w:val="24"/>
        </w:rPr>
      </w:pPr>
      <w:r w:rsidRPr="00D2311E">
        <w:rPr>
          <w:rFonts w:ascii="Times New Roman" w:hAnsi="Times New Roman" w:cs="Times New Roman"/>
          <w:b/>
          <w:bCs/>
          <w:sz w:val="24"/>
          <w:szCs w:val="24"/>
        </w:rPr>
        <w:t>Supplementary material A</w:t>
      </w:r>
      <w:r w:rsidRPr="006A5CB8">
        <w:rPr>
          <w:rFonts w:ascii="Times New Roman" w:hAnsi="Times New Roman" w:cs="Times New Roman"/>
          <w:sz w:val="24"/>
          <w:szCs w:val="24"/>
        </w:rPr>
        <w:t>: Detailed Search Strings</w:t>
      </w:r>
      <w:r w:rsidRPr="006A5CB8">
        <w:rPr>
          <w:rFonts w:ascii="Times New Roman" w:hAnsi="Times New Roman" w:cs="Times New Roman"/>
          <w:sz w:val="24"/>
          <w:szCs w:val="24"/>
        </w:rPr>
        <w:br/>
        <w:t>The following search strings were used for each database:</w:t>
      </w:r>
    </w:p>
    <w:p w14:paraId="00DF43B6" w14:textId="77777777" w:rsidR="006A5CB8" w:rsidRPr="006A5CB8" w:rsidRDefault="006A5CB8" w:rsidP="006A5C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CB8">
        <w:rPr>
          <w:rFonts w:ascii="Times New Roman" w:hAnsi="Times New Roman" w:cs="Times New Roman"/>
          <w:sz w:val="24"/>
          <w:szCs w:val="24"/>
        </w:rPr>
        <w:t>PubMed: (“malaria” [</w:t>
      </w:r>
      <w:proofErr w:type="spellStart"/>
      <w:r w:rsidRPr="006A5CB8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6A5CB8">
        <w:rPr>
          <w:rFonts w:ascii="Times New Roman" w:hAnsi="Times New Roman" w:cs="Times New Roman"/>
          <w:sz w:val="24"/>
          <w:szCs w:val="24"/>
        </w:rPr>
        <w:t xml:space="preserve"> Terms] AND “vector control” [</w:t>
      </w:r>
      <w:proofErr w:type="spellStart"/>
      <w:r w:rsidRPr="006A5CB8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6A5CB8">
        <w:rPr>
          <w:rFonts w:ascii="Times New Roman" w:hAnsi="Times New Roman" w:cs="Times New Roman"/>
          <w:sz w:val="24"/>
          <w:szCs w:val="24"/>
        </w:rPr>
        <w:t xml:space="preserve"> Terms] AND (“multi-active” OR “dual-active” OR “combination”) AND (“long-lasting insecticidal nets” OR “insecticide-treated nets”) AND (“Africa” OR “sub-Saharan Africa”))</w:t>
      </w:r>
    </w:p>
    <w:p w14:paraId="10355504" w14:textId="77777777" w:rsidR="006A5CB8" w:rsidRPr="006A5CB8" w:rsidRDefault="006A5CB8" w:rsidP="006A5C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CB8">
        <w:rPr>
          <w:rFonts w:ascii="Times New Roman" w:hAnsi="Times New Roman" w:cs="Times New Roman"/>
          <w:sz w:val="24"/>
          <w:szCs w:val="24"/>
        </w:rPr>
        <w:t>Web of Science: TS= (malaria AND vector control AND (“multi-active” OR “dual-active” OR combination) AND (“insecticide-treated nets” OR “long-lasting insecticidal nets”) AND (Africa OR “sub-Saharan Africa”))</w:t>
      </w:r>
    </w:p>
    <w:p w14:paraId="690B4142" w14:textId="77777777" w:rsidR="006A5CB8" w:rsidRPr="006A5CB8" w:rsidRDefault="006A5CB8" w:rsidP="006A5C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CB8">
        <w:rPr>
          <w:rFonts w:ascii="Times New Roman" w:hAnsi="Times New Roman" w:cs="Times New Roman"/>
          <w:sz w:val="24"/>
          <w:szCs w:val="24"/>
        </w:rPr>
        <w:t>Cochrane Library: (malaria AND “vector control” AND (“dual-active” OR “multi-active” OR combination) AND Africa)</w:t>
      </w:r>
    </w:p>
    <w:p w14:paraId="7A2325A5" w14:textId="14C1CEED" w:rsidR="006A5CB8" w:rsidRPr="009F34F0" w:rsidRDefault="006A5CB8" w:rsidP="00675EF1">
      <w:pPr>
        <w:jc w:val="both"/>
        <w:rPr>
          <w:rFonts w:ascii="Times New Roman" w:hAnsi="Times New Roman" w:cs="Times New Roman"/>
          <w:sz w:val="24"/>
          <w:szCs w:val="24"/>
        </w:rPr>
      </w:pPr>
      <w:r w:rsidRPr="006A5CB8">
        <w:rPr>
          <w:rFonts w:ascii="Times New Roman" w:hAnsi="Times New Roman" w:cs="Times New Roman"/>
          <w:sz w:val="24"/>
          <w:szCs w:val="24"/>
        </w:rPr>
        <w:t>Google Scholar: “malaria” AND “vector control” AND (“dual-active” OR “multi-active” OR “combination”) AND “Africa”</w:t>
      </w:r>
    </w:p>
    <w:p w14:paraId="7E23FDB6" w14:textId="5EA44406" w:rsidR="00675EF1" w:rsidRPr="006C1298" w:rsidRDefault="00954259">
      <w:pPr>
        <w:rPr>
          <w:rFonts w:ascii="Times New Roman" w:hAnsi="Times New Roman" w:cs="Times New Roman"/>
          <w:sz w:val="24"/>
          <w:szCs w:val="24"/>
        </w:rPr>
      </w:pPr>
      <w:r w:rsidRPr="00D2311E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6C1298">
        <w:rPr>
          <w:rFonts w:ascii="Times New Roman" w:hAnsi="Times New Roman" w:cs="Times New Roman"/>
          <w:sz w:val="24"/>
          <w:szCs w:val="24"/>
        </w:rPr>
        <w:t>. Summary of included studies assessing the impact of multi-active ingredient (MAI) long-lasting insecticidal nets (LLINs) on malaria vector density, sporozoite rate, and entomological inoculation rate (EIR) in sub-Saharan Africa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050"/>
        <w:gridCol w:w="957"/>
        <w:gridCol w:w="931"/>
        <w:gridCol w:w="1110"/>
        <w:gridCol w:w="974"/>
        <w:gridCol w:w="1076"/>
        <w:gridCol w:w="1076"/>
        <w:gridCol w:w="1076"/>
        <w:gridCol w:w="1110"/>
      </w:tblGrid>
      <w:tr w:rsidR="009F34F0" w:rsidRPr="006C1298" w14:paraId="35C5F960" w14:textId="77777777" w:rsidTr="00967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7E0CF6F5" w14:textId="77777777" w:rsidR="004F0E93" w:rsidRPr="00845619" w:rsidRDefault="004F0E93" w:rsidP="004F0E9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5619">
              <w:rPr>
                <w:rStyle w:val="Strong"/>
                <w:rFonts w:ascii="Times New Roman" w:hAnsi="Times New Roman" w:cs="Times New Roman"/>
                <w:b/>
                <w:bCs/>
                <w:sz w:val="24"/>
                <w:szCs w:val="24"/>
              </w:rPr>
              <w:t>Author (Year)</w:t>
            </w:r>
          </w:p>
          <w:p w14:paraId="52A4585C" w14:textId="77777777" w:rsidR="004F0E93" w:rsidRPr="006C1298" w:rsidRDefault="004F0E93" w:rsidP="004F0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05DE93EC" w14:textId="526B00AD" w:rsidR="004F0E93" w:rsidRPr="006C1298" w:rsidRDefault="004F0E93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Country / Study Area</w:t>
            </w:r>
          </w:p>
        </w:tc>
        <w:tc>
          <w:tcPr>
            <w:tcW w:w="931" w:type="dxa"/>
          </w:tcPr>
          <w:p w14:paraId="46DD77AF" w14:textId="6E05C76F" w:rsidR="004F0E93" w:rsidRPr="006C1298" w:rsidRDefault="004F0E93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Study Design</w:t>
            </w:r>
          </w:p>
        </w:tc>
        <w:tc>
          <w:tcPr>
            <w:tcW w:w="1110" w:type="dxa"/>
          </w:tcPr>
          <w:p w14:paraId="39456232" w14:textId="6EC0DE50" w:rsidR="004F0E93" w:rsidRPr="006C1298" w:rsidRDefault="004F0E93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Intervention Groups</w:t>
            </w:r>
          </w:p>
        </w:tc>
        <w:tc>
          <w:tcPr>
            <w:tcW w:w="974" w:type="dxa"/>
          </w:tcPr>
          <w:p w14:paraId="35D4E80A" w14:textId="781D9FF7" w:rsidR="004F0E93" w:rsidRPr="006C1298" w:rsidRDefault="004F0E93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Sample Size / Households</w:t>
            </w:r>
          </w:p>
        </w:tc>
        <w:tc>
          <w:tcPr>
            <w:tcW w:w="1076" w:type="dxa"/>
          </w:tcPr>
          <w:p w14:paraId="43D6933C" w14:textId="238EBF24" w:rsidR="004F0E93" w:rsidRPr="006C1298" w:rsidRDefault="004F0E93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Mean Indoor Vector Density (per household per night)</w:t>
            </w:r>
          </w:p>
        </w:tc>
        <w:tc>
          <w:tcPr>
            <w:tcW w:w="1076" w:type="dxa"/>
          </w:tcPr>
          <w:p w14:paraId="19DB4934" w14:textId="0BCFA82A" w:rsidR="004F0E93" w:rsidRPr="006C1298" w:rsidRDefault="004F0E93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Sporozoite Rate (% positive mosquitoes)</w:t>
            </w:r>
          </w:p>
        </w:tc>
        <w:tc>
          <w:tcPr>
            <w:tcW w:w="1076" w:type="dxa"/>
          </w:tcPr>
          <w:p w14:paraId="0C9412A8" w14:textId="3653105D" w:rsidR="004F0E93" w:rsidRPr="006C1298" w:rsidRDefault="004F0E93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Mean EIR (per household per night)</w:t>
            </w:r>
          </w:p>
        </w:tc>
        <w:tc>
          <w:tcPr>
            <w:tcW w:w="1110" w:type="dxa"/>
          </w:tcPr>
          <w:p w14:paraId="279C6471" w14:textId="16803740" w:rsidR="004F0E93" w:rsidRPr="006C1298" w:rsidRDefault="006C1298" w:rsidP="004F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Main Observations</w:t>
            </w:r>
          </w:p>
        </w:tc>
      </w:tr>
      <w:tr w:rsidR="009F34F0" w:rsidRPr="006C1298" w14:paraId="069EC372" w14:textId="77777777" w:rsidTr="00967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FFFFFF" w:themeFill="background1"/>
          </w:tcPr>
          <w:p w14:paraId="06FCA5CE" w14:textId="5C698D52" w:rsidR="004F0E93" w:rsidRPr="006C1298" w:rsidRDefault="004F0E93" w:rsidP="004F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Mosha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et al. (2021)</w:t>
            </w:r>
          </w:p>
        </w:tc>
        <w:tc>
          <w:tcPr>
            <w:tcW w:w="957" w:type="dxa"/>
            <w:shd w:val="clear" w:color="auto" w:fill="FFFFFF" w:themeFill="background1"/>
          </w:tcPr>
          <w:p w14:paraId="25717FB8" w14:textId="585F7A99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Tanzania (61,183 households)</w:t>
            </w:r>
          </w:p>
        </w:tc>
        <w:tc>
          <w:tcPr>
            <w:tcW w:w="931" w:type="dxa"/>
            <w:shd w:val="clear" w:color="auto" w:fill="FFFFFF" w:themeFill="background1"/>
          </w:tcPr>
          <w:p w14:paraId="61EF2A6E" w14:textId="77777777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Cluster-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randomised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trial</w:t>
            </w:r>
          </w:p>
          <w:p w14:paraId="0E3D6BF2" w14:textId="77777777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 w:themeFill="background1"/>
          </w:tcPr>
          <w:p w14:paraId="2F3B988D" w14:textId="77777777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Pyrethroid-only; Pyriproxyfen–Pyrethroid;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–Pyrethroid;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Piperonyl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butoxide–Pyrethroid</w:t>
            </w:r>
          </w:p>
          <w:p w14:paraId="6562DBEF" w14:textId="77777777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FFFFFF" w:themeFill="background1"/>
          </w:tcPr>
          <w:p w14:paraId="1C9C426F" w14:textId="1C5823DB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331 households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analysed</w:t>
            </w:r>
            <w:proofErr w:type="spellEnd"/>
          </w:p>
        </w:tc>
        <w:tc>
          <w:tcPr>
            <w:tcW w:w="1076" w:type="dxa"/>
            <w:shd w:val="clear" w:color="auto" w:fill="FFFFFF" w:themeFill="background1"/>
          </w:tcPr>
          <w:p w14:paraId="31AD514D" w14:textId="7C6438BC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5.9 (0.7–11.1); Pyriproxyfen: 4.2 (0.8–7.0);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2.8 (0.0–6.0); PBO: 1.9 (0.4–3.4)</w:t>
            </w:r>
          </w:p>
        </w:tc>
        <w:tc>
          <w:tcPr>
            <w:tcW w:w="1076" w:type="dxa"/>
            <w:shd w:val="clear" w:color="auto" w:fill="FFFFFF" w:themeFill="background1"/>
          </w:tcPr>
          <w:p w14:paraId="6114BA8E" w14:textId="653AA909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4.4%; Pyriproxyfen: 3.3%;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2.2%; PBO: 3.0%</w:t>
            </w:r>
          </w:p>
        </w:tc>
        <w:tc>
          <w:tcPr>
            <w:tcW w:w="1076" w:type="dxa"/>
            <w:shd w:val="clear" w:color="auto" w:fill="FFFFFF" w:themeFill="background1"/>
          </w:tcPr>
          <w:p w14:paraId="7345D3A4" w14:textId="4E15F5B8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0.35; Pyriproxyfen: 0.11;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0.04; PBO: 0.07</w:t>
            </w:r>
          </w:p>
        </w:tc>
        <w:tc>
          <w:tcPr>
            <w:tcW w:w="1110" w:type="dxa"/>
            <w:shd w:val="clear" w:color="auto" w:fill="FFFFFF" w:themeFill="background1"/>
          </w:tcPr>
          <w:p w14:paraId="58D536A8" w14:textId="1623731B" w:rsidR="004F0E93" w:rsidRPr="006C1298" w:rsidRDefault="006C1298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Dual-active LLINs reduced vector density and EIR compared with pyrethroid-only nets, with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and PBO showing </w:t>
            </w:r>
            <w:r w:rsidR="00781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</w:t>
            </w: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greatest reductions.</w:t>
            </w:r>
          </w:p>
        </w:tc>
      </w:tr>
      <w:tr w:rsidR="009F34F0" w:rsidRPr="006C1298" w14:paraId="67932943" w14:textId="77777777" w:rsidTr="009675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13BC9BEC" w14:textId="2BE17CA2" w:rsidR="004F0E93" w:rsidRPr="006C1298" w:rsidRDefault="004F0E93" w:rsidP="004F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Mosha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957" w:type="dxa"/>
          </w:tcPr>
          <w:p w14:paraId="45B6665B" w14:textId="047721E8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Tanzania (same sites, longitudinal follow-up)</w:t>
            </w:r>
          </w:p>
        </w:tc>
        <w:tc>
          <w:tcPr>
            <w:tcW w:w="931" w:type="dxa"/>
          </w:tcPr>
          <w:p w14:paraId="01817EB0" w14:textId="695C6698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Cluster-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randomised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trial</w:t>
            </w:r>
          </w:p>
        </w:tc>
        <w:tc>
          <w:tcPr>
            <w:tcW w:w="1110" w:type="dxa"/>
          </w:tcPr>
          <w:p w14:paraId="18D8C098" w14:textId="77777777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Same intervention groups as above</w:t>
            </w:r>
          </w:p>
          <w:p w14:paraId="5FE5E04E" w14:textId="77777777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10DAFD49" w14:textId="4E6145DC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Same study population</w:t>
            </w:r>
          </w:p>
        </w:tc>
        <w:tc>
          <w:tcPr>
            <w:tcW w:w="1076" w:type="dxa"/>
          </w:tcPr>
          <w:p w14:paraId="3C339C82" w14:textId="7C1CFE77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Similar values observed across all intervention arms in the 2021 study</w:t>
            </w:r>
          </w:p>
        </w:tc>
        <w:tc>
          <w:tcPr>
            <w:tcW w:w="1076" w:type="dxa"/>
          </w:tcPr>
          <w:p w14:paraId="2307E98A" w14:textId="3B807088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Similar to the previous year</w:t>
            </w:r>
          </w:p>
        </w:tc>
        <w:tc>
          <w:tcPr>
            <w:tcW w:w="1076" w:type="dxa"/>
          </w:tcPr>
          <w:p w14:paraId="01972376" w14:textId="36F5A7CD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Similar to the previous year</w:t>
            </w:r>
          </w:p>
        </w:tc>
        <w:tc>
          <w:tcPr>
            <w:tcW w:w="1110" w:type="dxa"/>
          </w:tcPr>
          <w:p w14:paraId="1E380E8E" w14:textId="4FFDA7EF" w:rsidR="004F0E93" w:rsidRPr="006C1298" w:rsidRDefault="006C1298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Results consistent with 2021; dual-active LLINs maintained lower vector density and EIR across years.</w:t>
            </w:r>
          </w:p>
        </w:tc>
      </w:tr>
      <w:tr w:rsidR="009F34F0" w:rsidRPr="006C1298" w14:paraId="434B659D" w14:textId="77777777" w:rsidTr="00967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  <w:shd w:val="clear" w:color="auto" w:fill="FFFFFF" w:themeFill="background1"/>
          </w:tcPr>
          <w:p w14:paraId="13A2E637" w14:textId="1C4AAE58" w:rsidR="004F0E93" w:rsidRPr="006C1298" w:rsidRDefault="004F0E93" w:rsidP="004F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Accrombessi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et al. (2023)</w:t>
            </w:r>
          </w:p>
        </w:tc>
        <w:tc>
          <w:tcPr>
            <w:tcW w:w="957" w:type="dxa"/>
            <w:shd w:val="clear" w:color="auto" w:fill="FFFFFF" w:themeFill="background1"/>
          </w:tcPr>
          <w:p w14:paraId="6B66994E" w14:textId="780F1F49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Benin (multi-district community trial)</w:t>
            </w:r>
          </w:p>
        </w:tc>
        <w:tc>
          <w:tcPr>
            <w:tcW w:w="931" w:type="dxa"/>
            <w:shd w:val="clear" w:color="auto" w:fill="FFFFFF" w:themeFill="background1"/>
          </w:tcPr>
          <w:p w14:paraId="773031FF" w14:textId="77777777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Cluster-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randomised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controlled trial</w:t>
            </w:r>
          </w:p>
          <w:p w14:paraId="5A14308F" w14:textId="77777777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FFFF" w:themeFill="background1"/>
          </w:tcPr>
          <w:p w14:paraId="5397B517" w14:textId="0EFAF4DB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Pyrethroid-only; Pyriproxyfen–Pyrethroid;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–Pyrethroid</w:t>
            </w:r>
          </w:p>
        </w:tc>
        <w:tc>
          <w:tcPr>
            <w:tcW w:w="974" w:type="dxa"/>
            <w:shd w:val="clear" w:color="auto" w:fill="FFFFFF" w:themeFill="background1"/>
          </w:tcPr>
          <w:p w14:paraId="7E0B16B5" w14:textId="4C903AB8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Not reported (large-scale clusters)</w:t>
            </w:r>
          </w:p>
        </w:tc>
        <w:tc>
          <w:tcPr>
            <w:tcW w:w="1076" w:type="dxa"/>
            <w:shd w:val="clear" w:color="auto" w:fill="FFFFFF" w:themeFill="background1"/>
          </w:tcPr>
          <w:p w14:paraId="0A73186A" w14:textId="5429716B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22.5 (9.5–40.5); Pyriproxyfen: 25.5 (13.5–43.5);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14.0 (7.0–29.5)</w:t>
            </w:r>
          </w:p>
        </w:tc>
        <w:tc>
          <w:tcPr>
            <w:tcW w:w="1076" w:type="dxa"/>
            <w:shd w:val="clear" w:color="auto" w:fill="FFFFFF" w:themeFill="background1"/>
          </w:tcPr>
          <w:p w14:paraId="7C7C5B51" w14:textId="219B68D6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076" w:type="dxa"/>
            <w:shd w:val="clear" w:color="auto" w:fill="FFFFFF" w:themeFill="background1"/>
          </w:tcPr>
          <w:p w14:paraId="49C83733" w14:textId="2F38F401" w:rsidR="004F0E93" w:rsidRPr="006C1298" w:rsidRDefault="004F0E93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0.96 (0.43–1.49); Pyriproxyfen: 0.62 (0.20–1.04);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0.48 (0.19–0.77)</w:t>
            </w:r>
          </w:p>
        </w:tc>
        <w:tc>
          <w:tcPr>
            <w:tcW w:w="1110" w:type="dxa"/>
            <w:shd w:val="clear" w:color="auto" w:fill="FFFFFF" w:themeFill="background1"/>
          </w:tcPr>
          <w:p w14:paraId="20FA7446" w14:textId="6F2D3906" w:rsidR="004F0E93" w:rsidRPr="006C1298" w:rsidRDefault="006C1298" w:rsidP="004F0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–pyrethroid LLINs showed lower vector density and EIR compared with pyrethroid-only and pyriproxyfen nets.</w:t>
            </w:r>
          </w:p>
        </w:tc>
      </w:tr>
      <w:tr w:rsidR="009F34F0" w:rsidRPr="006C1298" w14:paraId="663CB5BB" w14:textId="77777777" w:rsidTr="009675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dxa"/>
          </w:tcPr>
          <w:p w14:paraId="3E861D1D" w14:textId="54F10823" w:rsidR="004F0E93" w:rsidRPr="006C1298" w:rsidRDefault="004F0E93" w:rsidP="004F0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Matowo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 et al. (2023)</w:t>
            </w:r>
          </w:p>
        </w:tc>
        <w:tc>
          <w:tcPr>
            <w:tcW w:w="957" w:type="dxa"/>
          </w:tcPr>
          <w:p w14:paraId="3A17BCA6" w14:textId="3DD200A1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Tanzania (670 households)</w:t>
            </w:r>
          </w:p>
        </w:tc>
        <w:tc>
          <w:tcPr>
            <w:tcW w:w="931" w:type="dxa"/>
          </w:tcPr>
          <w:p w14:paraId="3BAD0159" w14:textId="3C6EF921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Cluster trial</w:t>
            </w:r>
          </w:p>
        </w:tc>
        <w:tc>
          <w:tcPr>
            <w:tcW w:w="1110" w:type="dxa"/>
          </w:tcPr>
          <w:p w14:paraId="77199363" w14:textId="08583C43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Pyrethroid-only; Pyriproxyfen–Pyrethroid;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–Pyrethroid; PBO–Pyrethroid</w:t>
            </w:r>
          </w:p>
        </w:tc>
        <w:tc>
          <w:tcPr>
            <w:tcW w:w="974" w:type="dxa"/>
          </w:tcPr>
          <w:p w14:paraId="2B3837EC" w14:textId="3C0C7E94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670 households</w:t>
            </w:r>
          </w:p>
        </w:tc>
        <w:tc>
          <w:tcPr>
            <w:tcW w:w="1076" w:type="dxa"/>
          </w:tcPr>
          <w:p w14:paraId="26C6356C" w14:textId="4660BBFF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2.0; Pyriproxyfen: 0.8;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0.2; PBO: 0.5</w:t>
            </w:r>
          </w:p>
        </w:tc>
        <w:tc>
          <w:tcPr>
            <w:tcW w:w="1076" w:type="dxa"/>
          </w:tcPr>
          <w:p w14:paraId="1CFC3E2A" w14:textId="766D4F01" w:rsidR="004F0E93" w:rsidRPr="006C1298" w:rsidRDefault="004F0E93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2.4%; Pyriproxyfen: 1.8%;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1.6%; PBO: 2.6%</w:t>
            </w:r>
          </w:p>
        </w:tc>
        <w:tc>
          <w:tcPr>
            <w:tcW w:w="1076" w:type="dxa"/>
          </w:tcPr>
          <w:p w14:paraId="13E98124" w14:textId="1F9B6A19" w:rsidR="004F0E93" w:rsidRPr="006C1298" w:rsidRDefault="006C1298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Pyrethroid-only: 0.5; Pyriproxyfen: 0.4; </w:t>
            </w:r>
            <w:proofErr w:type="spellStart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: 0.5; PBO: 0.3</w:t>
            </w:r>
          </w:p>
        </w:tc>
        <w:tc>
          <w:tcPr>
            <w:tcW w:w="1110" w:type="dxa"/>
          </w:tcPr>
          <w:p w14:paraId="000BF82E" w14:textId="6E8303E2" w:rsidR="004F0E93" w:rsidRPr="006C1298" w:rsidRDefault="006C1298" w:rsidP="004F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 xml:space="preserve">Dual-active nets showed reduced vector density and sporozoite rates compared with pyrethroid-only nets; PBO nets achieved </w:t>
            </w:r>
            <w:r w:rsidR="009F34F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6C1298">
              <w:rPr>
                <w:rFonts w:ascii="Times New Roman" w:hAnsi="Times New Roman" w:cs="Times New Roman"/>
                <w:sz w:val="24"/>
                <w:szCs w:val="24"/>
              </w:rPr>
              <w:t>lowest EIR.</w:t>
            </w:r>
          </w:p>
        </w:tc>
      </w:tr>
    </w:tbl>
    <w:p w14:paraId="01C7AEC9" w14:textId="3E6D0DF1" w:rsidR="00967567" w:rsidRPr="00B647B1" w:rsidRDefault="001A75A2" w:rsidP="0096756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67567" w:rsidRPr="00C4178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67567" w:rsidRPr="00C4178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67567">
        <w:rPr>
          <w:rFonts w:ascii="Times New Roman" w:hAnsi="Times New Roman" w:cs="Times New Roman"/>
          <w:b/>
          <w:bCs/>
          <w:sz w:val="24"/>
          <w:szCs w:val="24"/>
        </w:rPr>
        <w:t>Malaria Prevalence showing Intention-to-treat analysis</w:t>
      </w:r>
      <w:r w:rsidR="00967567" w:rsidRPr="00C41789">
        <w:rPr>
          <w:rFonts w:ascii="Times New Roman" w:hAnsi="Times New Roman" w:cs="Times New Roman"/>
          <w:b/>
          <w:bCs/>
          <w:sz w:val="24"/>
          <w:szCs w:val="24"/>
        </w:rPr>
        <w:t xml:space="preserve"> of Selected Studies</w:t>
      </w:r>
    </w:p>
    <w:tbl>
      <w:tblPr>
        <w:tblStyle w:val="ListTable6Colorful"/>
        <w:tblW w:w="10530" w:type="dxa"/>
        <w:tblInd w:w="-360" w:type="dxa"/>
        <w:tblLook w:val="04A0" w:firstRow="1" w:lastRow="0" w:firstColumn="1" w:lastColumn="0" w:noHBand="0" w:noVBand="1"/>
      </w:tblPr>
      <w:tblGrid>
        <w:gridCol w:w="2111"/>
        <w:gridCol w:w="1813"/>
        <w:gridCol w:w="1815"/>
        <w:gridCol w:w="1782"/>
        <w:gridCol w:w="1032"/>
        <w:gridCol w:w="1977"/>
      </w:tblGrid>
      <w:tr w:rsidR="00967567" w:rsidRPr="00FE1C36" w14:paraId="794B6A67" w14:textId="77777777" w:rsidTr="00D03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648913E2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Intervention Group</w:t>
            </w:r>
          </w:p>
        </w:tc>
        <w:tc>
          <w:tcPr>
            <w:tcW w:w="1815" w:type="dxa"/>
          </w:tcPr>
          <w:p w14:paraId="79CCAE26" w14:textId="77777777" w:rsidR="00967567" w:rsidRPr="00FE1C36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16" w:type="dxa"/>
          </w:tcPr>
          <w:p w14:paraId="3C41F1F9" w14:textId="77777777" w:rsidR="00967567" w:rsidRPr="00FE1C36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Intention-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o-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 xml:space="preserve">reat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nalysis</w:t>
            </w:r>
          </w:p>
        </w:tc>
        <w:tc>
          <w:tcPr>
            <w:tcW w:w="1783" w:type="dxa"/>
          </w:tcPr>
          <w:p w14:paraId="48ECB533" w14:textId="77777777" w:rsidR="00967567" w:rsidRPr="00FE1C36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  <w:proofErr w:type="spellEnd"/>
            <w:r w:rsidRPr="00FE1C36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1032" w:type="dxa"/>
          </w:tcPr>
          <w:p w14:paraId="3BF033E7" w14:textId="77777777" w:rsidR="00967567" w:rsidRPr="00FE1C36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978" w:type="dxa"/>
          </w:tcPr>
          <w:p w14:paraId="0903FE9C" w14:textId="77777777" w:rsidR="00967567" w:rsidRPr="00FE1C36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Author, Year</w:t>
            </w:r>
          </w:p>
        </w:tc>
      </w:tr>
      <w:tr w:rsidR="00967567" w14:paraId="0DE96D82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5D3DF969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Pyrethroid Group</w:t>
            </w:r>
          </w:p>
        </w:tc>
        <w:tc>
          <w:tcPr>
            <w:tcW w:w="1815" w:type="dxa"/>
            <w:shd w:val="clear" w:color="auto" w:fill="auto"/>
          </w:tcPr>
          <w:p w14:paraId="2D96250F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74188A36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43.1%</w:t>
            </w:r>
          </w:p>
        </w:tc>
        <w:tc>
          <w:tcPr>
            <w:tcW w:w="1783" w:type="dxa"/>
            <w:shd w:val="clear" w:color="auto" w:fill="auto"/>
          </w:tcPr>
          <w:p w14:paraId="6C7B2AAE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 (ref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2" w:type="dxa"/>
            <w:shd w:val="clear" w:color="auto" w:fill="auto"/>
          </w:tcPr>
          <w:p w14:paraId="4C215929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978" w:type="dxa"/>
            <w:shd w:val="clear" w:color="auto" w:fill="auto"/>
          </w:tcPr>
          <w:p w14:paraId="36664ECA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</w:tr>
      <w:tr w:rsidR="00967567" w14:paraId="1374CF01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4F1ACAB3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51DF10E3" w14:textId="77777777" w:rsidR="00967567" w:rsidRPr="00C41789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7597C8D3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45.2%</w:t>
            </w:r>
          </w:p>
        </w:tc>
        <w:tc>
          <w:tcPr>
            <w:tcW w:w="1783" w:type="dxa"/>
            <w:shd w:val="clear" w:color="auto" w:fill="auto"/>
          </w:tcPr>
          <w:p w14:paraId="5B004A3A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032" w:type="dxa"/>
            <w:shd w:val="clear" w:color="auto" w:fill="auto"/>
          </w:tcPr>
          <w:p w14:paraId="352C6B69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978" w:type="dxa"/>
            <w:shd w:val="clear" w:color="auto" w:fill="auto"/>
          </w:tcPr>
          <w:p w14:paraId="04217AE8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(26)</w:t>
            </w:r>
          </w:p>
        </w:tc>
      </w:tr>
      <w:tr w:rsidR="00967567" w14:paraId="6A950F2F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0336201A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4E7A248A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3ED8AA96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26.2%</w:t>
            </w:r>
          </w:p>
        </w:tc>
        <w:tc>
          <w:tcPr>
            <w:tcW w:w="1783" w:type="dxa"/>
            <w:shd w:val="clear" w:color="auto" w:fill="auto"/>
          </w:tcPr>
          <w:p w14:paraId="19150EEA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032" w:type="dxa"/>
            <w:shd w:val="clear" w:color="auto" w:fill="auto"/>
          </w:tcPr>
          <w:p w14:paraId="57E9F95A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N/D</w:t>
            </w:r>
          </w:p>
        </w:tc>
        <w:tc>
          <w:tcPr>
            <w:tcW w:w="1978" w:type="dxa"/>
            <w:shd w:val="clear" w:color="auto" w:fill="auto"/>
          </w:tcPr>
          <w:p w14:paraId="460FE370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(27)</w:t>
            </w:r>
          </w:p>
        </w:tc>
      </w:tr>
      <w:tr w:rsidR="00967567" w14:paraId="6A46623D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7374738F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5822DF5" w14:textId="77777777" w:rsidR="00967567" w:rsidRPr="00C41789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7E29F754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783" w:type="dxa"/>
            <w:shd w:val="clear" w:color="auto" w:fill="auto"/>
          </w:tcPr>
          <w:p w14:paraId="2B023DDD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032" w:type="dxa"/>
            <w:shd w:val="clear" w:color="auto" w:fill="auto"/>
          </w:tcPr>
          <w:p w14:paraId="100C13F1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978" w:type="dxa"/>
            <w:shd w:val="clear" w:color="auto" w:fill="auto"/>
          </w:tcPr>
          <w:p w14:paraId="3A65B10F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  <w:tr w:rsidR="00967567" w14:paraId="100D6016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2933BD8A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 xml:space="preserve">Pyriproxyfen group </w:t>
            </w:r>
          </w:p>
          <w:p w14:paraId="40FB28E1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7E5C2018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2F482930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36.6%</w:t>
            </w:r>
          </w:p>
        </w:tc>
        <w:tc>
          <w:tcPr>
            <w:tcW w:w="1783" w:type="dxa"/>
            <w:shd w:val="clear" w:color="auto" w:fill="auto"/>
          </w:tcPr>
          <w:p w14:paraId="7E60E2A3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0.82 (0.54-1.17)</w:t>
            </w:r>
          </w:p>
        </w:tc>
        <w:tc>
          <w:tcPr>
            <w:tcW w:w="1032" w:type="dxa"/>
            <w:shd w:val="clear" w:color="auto" w:fill="auto"/>
          </w:tcPr>
          <w:p w14:paraId="65E37D00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0.4097</w:t>
            </w:r>
          </w:p>
        </w:tc>
        <w:tc>
          <w:tcPr>
            <w:tcW w:w="1978" w:type="dxa"/>
            <w:shd w:val="clear" w:color="auto" w:fill="auto"/>
          </w:tcPr>
          <w:p w14:paraId="633F5784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</w:tr>
      <w:tr w:rsidR="00967567" w14:paraId="466C460B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6C2BEC81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6C1CF9C3" w14:textId="77777777" w:rsidR="00967567" w:rsidRPr="00C41789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EA69312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35.6%</w:t>
            </w:r>
          </w:p>
        </w:tc>
        <w:tc>
          <w:tcPr>
            <w:tcW w:w="1783" w:type="dxa"/>
          </w:tcPr>
          <w:p w14:paraId="4764DC4D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0.78 (0.55-1.23)</w:t>
            </w:r>
          </w:p>
        </w:tc>
        <w:tc>
          <w:tcPr>
            <w:tcW w:w="1032" w:type="dxa"/>
          </w:tcPr>
          <w:p w14:paraId="036449BF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978" w:type="dxa"/>
          </w:tcPr>
          <w:p w14:paraId="396DDAB6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</w:tr>
      <w:tr w:rsidR="00967567" w14:paraId="26E11ABB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42C7EA3D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0A7202A0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52DB6D25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28.4%</w:t>
            </w:r>
          </w:p>
        </w:tc>
        <w:tc>
          <w:tcPr>
            <w:tcW w:w="1783" w:type="dxa"/>
            <w:shd w:val="clear" w:color="auto" w:fill="auto"/>
          </w:tcPr>
          <w:p w14:paraId="46F7070C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1.12 (0.78-1.61)</w:t>
            </w:r>
          </w:p>
        </w:tc>
        <w:tc>
          <w:tcPr>
            <w:tcW w:w="1032" w:type="dxa"/>
            <w:shd w:val="clear" w:color="auto" w:fill="auto"/>
          </w:tcPr>
          <w:p w14:paraId="0DD632B3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978" w:type="dxa"/>
            <w:shd w:val="clear" w:color="auto" w:fill="auto"/>
          </w:tcPr>
          <w:p w14:paraId="6D63C09C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(27)</w:t>
            </w:r>
          </w:p>
        </w:tc>
      </w:tr>
      <w:tr w:rsidR="00967567" w14:paraId="20293006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24CB4DBA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671B196" w14:textId="77777777" w:rsidR="00967567" w:rsidRPr="00C41789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2B6993C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783" w:type="dxa"/>
          </w:tcPr>
          <w:p w14:paraId="62219984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0.71 (0.47-1.12)</w:t>
            </w:r>
          </w:p>
        </w:tc>
        <w:tc>
          <w:tcPr>
            <w:tcW w:w="1032" w:type="dxa"/>
          </w:tcPr>
          <w:p w14:paraId="3E0B4D92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978" w:type="dxa"/>
          </w:tcPr>
          <w:p w14:paraId="52ABB41A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  <w:tr w:rsidR="00967567" w14:paraId="63B50ECD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67242334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FE1C36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1815" w:type="dxa"/>
            <w:shd w:val="clear" w:color="auto" w:fill="auto"/>
          </w:tcPr>
          <w:p w14:paraId="7067779A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4C64367F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27.3%</w:t>
            </w:r>
          </w:p>
        </w:tc>
        <w:tc>
          <w:tcPr>
            <w:tcW w:w="1783" w:type="dxa"/>
            <w:shd w:val="clear" w:color="auto" w:fill="auto"/>
          </w:tcPr>
          <w:p w14:paraId="3B8B812D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0.53 (0.30-0.67)</w:t>
            </w:r>
          </w:p>
        </w:tc>
        <w:tc>
          <w:tcPr>
            <w:tcW w:w="1032" w:type="dxa"/>
            <w:shd w:val="clear" w:color="auto" w:fill="auto"/>
          </w:tcPr>
          <w:p w14:paraId="71E7696C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0.0123</w:t>
            </w:r>
          </w:p>
        </w:tc>
        <w:tc>
          <w:tcPr>
            <w:tcW w:w="1978" w:type="dxa"/>
            <w:shd w:val="clear" w:color="auto" w:fill="auto"/>
          </w:tcPr>
          <w:p w14:paraId="55C4386A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</w:tr>
      <w:tr w:rsidR="00967567" w14:paraId="240A5366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3405B593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A139FD8" w14:textId="77777777" w:rsidR="00967567" w:rsidRPr="00C41789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3DE7FA56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32.3%</w:t>
            </w:r>
          </w:p>
        </w:tc>
        <w:tc>
          <w:tcPr>
            <w:tcW w:w="1783" w:type="dxa"/>
          </w:tcPr>
          <w:p w14:paraId="077B790E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0.63 (0.38-0.86)</w:t>
            </w:r>
          </w:p>
        </w:tc>
        <w:tc>
          <w:tcPr>
            <w:tcW w:w="1032" w:type="dxa"/>
          </w:tcPr>
          <w:p w14:paraId="26DFD053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78" w:type="dxa"/>
          </w:tcPr>
          <w:p w14:paraId="7347C981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</w:tr>
      <w:tr w:rsidR="00967567" w14:paraId="23178228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3B2E3B82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77ADC0B1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5FC637AA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22.5%</w:t>
            </w:r>
          </w:p>
        </w:tc>
        <w:tc>
          <w:tcPr>
            <w:tcW w:w="1783" w:type="dxa"/>
            <w:shd w:val="clear" w:color="auto" w:fill="auto"/>
          </w:tcPr>
          <w:p w14:paraId="52526E37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0.82 (0.57-1.19)</w:t>
            </w:r>
          </w:p>
        </w:tc>
        <w:tc>
          <w:tcPr>
            <w:tcW w:w="1032" w:type="dxa"/>
            <w:shd w:val="clear" w:color="auto" w:fill="auto"/>
          </w:tcPr>
          <w:p w14:paraId="3F5B1EAE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978" w:type="dxa"/>
            <w:shd w:val="clear" w:color="auto" w:fill="auto"/>
          </w:tcPr>
          <w:p w14:paraId="25B4C5DD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(27)</w:t>
            </w:r>
          </w:p>
        </w:tc>
      </w:tr>
      <w:tr w:rsidR="00967567" w14:paraId="697D7B2E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57E90E53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2D75F2B" w14:textId="77777777" w:rsidR="00967567" w:rsidRPr="00C41789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3B6AC65E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783" w:type="dxa"/>
          </w:tcPr>
          <w:p w14:paraId="0A48E483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0.23 (0.17-0.41)</w:t>
            </w:r>
          </w:p>
        </w:tc>
        <w:tc>
          <w:tcPr>
            <w:tcW w:w="1032" w:type="dxa"/>
          </w:tcPr>
          <w:p w14:paraId="29731955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&lt;0·0001</w:t>
            </w:r>
          </w:p>
        </w:tc>
        <w:tc>
          <w:tcPr>
            <w:tcW w:w="1978" w:type="dxa"/>
          </w:tcPr>
          <w:p w14:paraId="3F9F9E02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  <w:tr w:rsidR="00967567" w14:paraId="0DD62265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0DEB865B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 xml:space="preserve">Piperonylbutoxide </w:t>
            </w:r>
          </w:p>
          <w:p w14:paraId="1F8E0117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6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815" w:type="dxa"/>
            <w:shd w:val="clear" w:color="auto" w:fill="auto"/>
          </w:tcPr>
          <w:p w14:paraId="25CC9364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343F3A79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34.4%</w:t>
            </w:r>
          </w:p>
        </w:tc>
        <w:tc>
          <w:tcPr>
            <w:tcW w:w="1783" w:type="dxa"/>
            <w:shd w:val="clear" w:color="auto" w:fill="auto"/>
          </w:tcPr>
          <w:p w14:paraId="78B2F0F2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0.80 (0.67-1.45)</w:t>
            </w:r>
          </w:p>
        </w:tc>
        <w:tc>
          <w:tcPr>
            <w:tcW w:w="1032" w:type="dxa"/>
            <w:shd w:val="clear" w:color="auto" w:fill="auto"/>
          </w:tcPr>
          <w:p w14:paraId="03D26E93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0.3909</w:t>
            </w:r>
          </w:p>
        </w:tc>
        <w:tc>
          <w:tcPr>
            <w:tcW w:w="1978" w:type="dxa"/>
            <w:shd w:val="clear" w:color="auto" w:fill="auto"/>
          </w:tcPr>
          <w:p w14:paraId="3AE8BE37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(25)</w:t>
            </w:r>
          </w:p>
        </w:tc>
      </w:tr>
      <w:tr w:rsidR="00967567" w14:paraId="0AB5308E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6AF22B12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676B3C16" w14:textId="77777777" w:rsidR="00967567" w:rsidRPr="00C41789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17ECFD39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40.7%</w:t>
            </w:r>
          </w:p>
        </w:tc>
        <w:tc>
          <w:tcPr>
            <w:tcW w:w="1783" w:type="dxa"/>
            <w:shd w:val="clear" w:color="auto" w:fill="auto"/>
          </w:tcPr>
          <w:p w14:paraId="79BB3664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0.97 (0.64-1.42)</w:t>
            </w:r>
          </w:p>
        </w:tc>
        <w:tc>
          <w:tcPr>
            <w:tcW w:w="1032" w:type="dxa"/>
            <w:shd w:val="clear" w:color="auto" w:fill="auto"/>
          </w:tcPr>
          <w:p w14:paraId="1E228D7F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978" w:type="dxa"/>
            <w:shd w:val="clear" w:color="auto" w:fill="auto"/>
          </w:tcPr>
          <w:p w14:paraId="2E9AFBA8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(26)</w:t>
            </w:r>
          </w:p>
        </w:tc>
      </w:tr>
      <w:tr w:rsidR="00967567" w14:paraId="7EE0C45C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  <w:shd w:val="clear" w:color="auto" w:fill="auto"/>
          </w:tcPr>
          <w:p w14:paraId="641466DD" w14:textId="77777777" w:rsidR="00967567" w:rsidRPr="00FE1C36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14:paraId="7DBB1DB9" w14:textId="77777777" w:rsidR="00967567" w:rsidRPr="00C41789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auto"/>
          </w:tcPr>
          <w:p w14:paraId="0E704290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783" w:type="dxa"/>
            <w:shd w:val="clear" w:color="auto" w:fill="auto"/>
          </w:tcPr>
          <w:p w14:paraId="03B647A3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0.48 (0.32-0.76)</w:t>
            </w:r>
          </w:p>
        </w:tc>
        <w:tc>
          <w:tcPr>
            <w:tcW w:w="1032" w:type="dxa"/>
            <w:shd w:val="clear" w:color="auto" w:fill="auto"/>
          </w:tcPr>
          <w:p w14:paraId="02E6E9F9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978" w:type="dxa"/>
            <w:shd w:val="clear" w:color="auto" w:fill="auto"/>
          </w:tcPr>
          <w:p w14:paraId="6FAA99F2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(28)</w:t>
            </w:r>
          </w:p>
        </w:tc>
      </w:tr>
    </w:tbl>
    <w:p w14:paraId="0FDA007A" w14:textId="307CCB67" w:rsidR="00967567" w:rsidRDefault="00967567" w:rsidP="0096756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N/D=Not Determined,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(Adjusted </w:t>
      </w:r>
      <w:r w:rsidR="00E67115">
        <w:rPr>
          <w:rFonts w:ascii="Times New Roman" w:hAnsi="Times New Roman" w:cs="Times New Roman"/>
          <w:b/>
          <w:bCs/>
          <w:sz w:val="24"/>
          <w:szCs w:val="24"/>
        </w:rPr>
        <w:t>Odds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Ratio), Cl=Confidence Interval</w:t>
      </w:r>
    </w:p>
    <w:p w14:paraId="3950EFF5" w14:textId="552E81E7" w:rsidR="00967567" w:rsidRPr="00807F75" w:rsidRDefault="00AF74C7" w:rsidP="0096756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67567" w:rsidRPr="00C4178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D246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67567" w:rsidRPr="00C4178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67567">
        <w:rPr>
          <w:rFonts w:ascii="Times New Roman" w:hAnsi="Times New Roman" w:cs="Times New Roman"/>
          <w:b/>
          <w:bCs/>
          <w:sz w:val="24"/>
          <w:szCs w:val="24"/>
        </w:rPr>
        <w:t>Malaria Prevalence showing Per-protocol analysis</w:t>
      </w:r>
      <w:r w:rsidR="00967567" w:rsidRPr="00C41789">
        <w:rPr>
          <w:rFonts w:ascii="Times New Roman" w:hAnsi="Times New Roman" w:cs="Times New Roman"/>
          <w:b/>
          <w:bCs/>
          <w:sz w:val="24"/>
          <w:szCs w:val="24"/>
        </w:rPr>
        <w:t xml:space="preserve"> of Selected Studies</w:t>
      </w:r>
    </w:p>
    <w:tbl>
      <w:tblPr>
        <w:tblStyle w:val="ListTable6Colorful"/>
        <w:tblW w:w="9445" w:type="dxa"/>
        <w:tblLook w:val="04A0" w:firstRow="1" w:lastRow="0" w:firstColumn="1" w:lastColumn="0" w:noHBand="0" w:noVBand="1"/>
      </w:tblPr>
      <w:tblGrid>
        <w:gridCol w:w="2110"/>
        <w:gridCol w:w="1816"/>
        <w:gridCol w:w="1793"/>
        <w:gridCol w:w="1805"/>
        <w:gridCol w:w="1921"/>
      </w:tblGrid>
      <w:tr w:rsidR="00967567" w14:paraId="7ECB16F6" w14:textId="77777777" w:rsidTr="00D03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71126736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Intervention Group</w:t>
            </w:r>
          </w:p>
        </w:tc>
        <w:tc>
          <w:tcPr>
            <w:tcW w:w="1841" w:type="dxa"/>
          </w:tcPr>
          <w:p w14:paraId="6A0E8152" w14:textId="77777777" w:rsidR="00967567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Per-Protocol</w:t>
            </w: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 xml:space="preserve"> analysis</w:t>
            </w:r>
          </w:p>
        </w:tc>
        <w:tc>
          <w:tcPr>
            <w:tcW w:w="1826" w:type="dxa"/>
          </w:tcPr>
          <w:p w14:paraId="4984069F" w14:textId="77777777" w:rsidR="00967567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  <w:proofErr w:type="spellEnd"/>
            <w:r w:rsidRPr="00C41789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1836" w:type="dxa"/>
          </w:tcPr>
          <w:p w14:paraId="68FEE7D0" w14:textId="77777777" w:rsidR="00967567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951" w:type="dxa"/>
          </w:tcPr>
          <w:p w14:paraId="160FFF8A" w14:textId="77777777" w:rsidR="00967567" w:rsidRDefault="00967567" w:rsidP="00D031D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Author, Year</w:t>
            </w:r>
          </w:p>
        </w:tc>
      </w:tr>
      <w:tr w:rsidR="00967567" w14:paraId="07EDF8B2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</w:tcPr>
          <w:p w14:paraId="503CE6A9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Pyrethroid Group</w:t>
            </w:r>
          </w:p>
        </w:tc>
        <w:tc>
          <w:tcPr>
            <w:tcW w:w="1841" w:type="dxa"/>
            <w:shd w:val="clear" w:color="auto" w:fill="auto"/>
          </w:tcPr>
          <w:p w14:paraId="4B69AEA5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41.5%</w:t>
            </w:r>
          </w:p>
        </w:tc>
        <w:tc>
          <w:tcPr>
            <w:tcW w:w="1826" w:type="dxa"/>
            <w:shd w:val="clear" w:color="auto" w:fill="auto"/>
          </w:tcPr>
          <w:p w14:paraId="305DD432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836" w:type="dxa"/>
            <w:shd w:val="clear" w:color="auto" w:fill="auto"/>
          </w:tcPr>
          <w:p w14:paraId="1AA25D5B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N/D</w:t>
            </w:r>
          </w:p>
        </w:tc>
        <w:tc>
          <w:tcPr>
            <w:tcW w:w="1951" w:type="dxa"/>
            <w:shd w:val="clear" w:color="auto" w:fill="auto"/>
          </w:tcPr>
          <w:p w14:paraId="61E421B5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</w:tr>
      <w:tr w:rsidR="00967567" w14:paraId="7DA8A18F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4F6A7345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1D4F728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41.6%</w:t>
            </w:r>
          </w:p>
        </w:tc>
        <w:tc>
          <w:tcPr>
            <w:tcW w:w="1826" w:type="dxa"/>
          </w:tcPr>
          <w:p w14:paraId="221A9240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836" w:type="dxa"/>
          </w:tcPr>
          <w:p w14:paraId="7069571F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N/D</w:t>
            </w:r>
          </w:p>
        </w:tc>
        <w:tc>
          <w:tcPr>
            <w:tcW w:w="1951" w:type="dxa"/>
          </w:tcPr>
          <w:p w14:paraId="1440311B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</w:tr>
      <w:tr w:rsidR="00967567" w14:paraId="0977E5FB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</w:tcPr>
          <w:p w14:paraId="494AF976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5C511049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826" w:type="dxa"/>
            <w:shd w:val="clear" w:color="auto" w:fill="auto"/>
          </w:tcPr>
          <w:p w14:paraId="2CEABA5B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1 (ref)</w:t>
            </w:r>
          </w:p>
        </w:tc>
        <w:tc>
          <w:tcPr>
            <w:tcW w:w="1836" w:type="dxa"/>
            <w:shd w:val="clear" w:color="auto" w:fill="auto"/>
          </w:tcPr>
          <w:p w14:paraId="43FBF5DF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951" w:type="dxa"/>
            <w:shd w:val="clear" w:color="auto" w:fill="auto"/>
          </w:tcPr>
          <w:p w14:paraId="34144A6C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  <w:tr w:rsidR="00967567" w14:paraId="34EDCE16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57BE925E" w14:textId="77777777" w:rsidR="00967567" w:rsidRPr="00C41789" w:rsidRDefault="00967567" w:rsidP="00D031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 xml:space="preserve">Pyriproxyfen group </w:t>
            </w:r>
          </w:p>
          <w:p w14:paraId="4502053A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98F5D2E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32.9%</w:t>
            </w:r>
          </w:p>
        </w:tc>
        <w:tc>
          <w:tcPr>
            <w:tcW w:w="1826" w:type="dxa"/>
          </w:tcPr>
          <w:p w14:paraId="0BF6A91F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0.70 (0.45-1.13)</w:t>
            </w:r>
          </w:p>
        </w:tc>
        <w:tc>
          <w:tcPr>
            <w:tcW w:w="1836" w:type="dxa"/>
          </w:tcPr>
          <w:p w14:paraId="10C2C409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0.1808</w:t>
            </w:r>
          </w:p>
        </w:tc>
        <w:tc>
          <w:tcPr>
            <w:tcW w:w="1951" w:type="dxa"/>
          </w:tcPr>
          <w:p w14:paraId="1AE74279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(25)</w:t>
            </w:r>
          </w:p>
        </w:tc>
      </w:tr>
      <w:tr w:rsidR="00967567" w14:paraId="20CBF74F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</w:tcPr>
          <w:p w14:paraId="2207E953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248EEBFF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31.8%</w:t>
            </w:r>
          </w:p>
        </w:tc>
        <w:tc>
          <w:tcPr>
            <w:tcW w:w="1826" w:type="dxa"/>
            <w:shd w:val="clear" w:color="auto" w:fill="auto"/>
          </w:tcPr>
          <w:p w14:paraId="1A005D1F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0.66 (0.45-1.32)</w:t>
            </w:r>
          </w:p>
        </w:tc>
        <w:tc>
          <w:tcPr>
            <w:tcW w:w="1836" w:type="dxa"/>
            <w:shd w:val="clear" w:color="auto" w:fill="auto"/>
          </w:tcPr>
          <w:p w14:paraId="1B012CAE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951" w:type="dxa"/>
            <w:shd w:val="clear" w:color="auto" w:fill="auto"/>
          </w:tcPr>
          <w:p w14:paraId="171BCE74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</w:tr>
      <w:tr w:rsidR="00967567" w14:paraId="60E882C5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4BDB49E5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6AEB8DF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826" w:type="dxa"/>
          </w:tcPr>
          <w:p w14:paraId="67F72551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0.89 (0.60-1.34)</w:t>
            </w:r>
          </w:p>
        </w:tc>
        <w:tc>
          <w:tcPr>
            <w:tcW w:w="1836" w:type="dxa"/>
          </w:tcPr>
          <w:p w14:paraId="0F5F7A42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951" w:type="dxa"/>
          </w:tcPr>
          <w:p w14:paraId="5CE1E3AE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  <w:tr w:rsidR="00967567" w14:paraId="6B8558FD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</w:tcPr>
          <w:p w14:paraId="52EDA35F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Chlorfenapyr</w:t>
            </w:r>
            <w:proofErr w:type="spellEnd"/>
            <w:r w:rsidRPr="00C41789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1841" w:type="dxa"/>
            <w:shd w:val="clear" w:color="auto" w:fill="auto"/>
          </w:tcPr>
          <w:p w14:paraId="01A14B42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25.2%</w:t>
            </w:r>
          </w:p>
        </w:tc>
        <w:tc>
          <w:tcPr>
            <w:tcW w:w="1826" w:type="dxa"/>
            <w:shd w:val="clear" w:color="auto" w:fill="auto"/>
          </w:tcPr>
          <w:p w14:paraId="23D0CAFE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0.49 (0.25-0.67)</w:t>
            </w:r>
          </w:p>
        </w:tc>
        <w:tc>
          <w:tcPr>
            <w:tcW w:w="1836" w:type="dxa"/>
            <w:shd w:val="clear" w:color="auto" w:fill="auto"/>
          </w:tcPr>
          <w:p w14:paraId="1C08259A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0.1277</w:t>
            </w:r>
          </w:p>
        </w:tc>
        <w:tc>
          <w:tcPr>
            <w:tcW w:w="1951" w:type="dxa"/>
            <w:shd w:val="clear" w:color="auto" w:fill="auto"/>
          </w:tcPr>
          <w:p w14:paraId="7F97542E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(25)</w:t>
            </w:r>
          </w:p>
        </w:tc>
      </w:tr>
      <w:tr w:rsidR="00967567" w14:paraId="56777235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75B3D645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F3018B8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26.6%</w:t>
            </w:r>
          </w:p>
        </w:tc>
        <w:tc>
          <w:tcPr>
            <w:tcW w:w="1826" w:type="dxa"/>
          </w:tcPr>
          <w:p w14:paraId="433103DD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0.51 (0.30-0.83)</w:t>
            </w:r>
          </w:p>
        </w:tc>
        <w:tc>
          <w:tcPr>
            <w:tcW w:w="1836" w:type="dxa"/>
          </w:tcPr>
          <w:p w14:paraId="4A6E17E4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951" w:type="dxa"/>
          </w:tcPr>
          <w:p w14:paraId="7C97612A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(26)</w:t>
            </w:r>
          </w:p>
        </w:tc>
      </w:tr>
      <w:tr w:rsidR="00967567" w14:paraId="6F66D3C8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</w:tcPr>
          <w:p w14:paraId="3F652F19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27CCB5BD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826" w:type="dxa"/>
            <w:shd w:val="clear" w:color="auto" w:fill="auto"/>
          </w:tcPr>
          <w:p w14:paraId="7364DD76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0.83 (0.55-1.25)</w:t>
            </w:r>
          </w:p>
        </w:tc>
        <w:tc>
          <w:tcPr>
            <w:tcW w:w="1836" w:type="dxa"/>
            <w:shd w:val="clear" w:color="auto" w:fill="auto"/>
          </w:tcPr>
          <w:p w14:paraId="7F90F4D8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951" w:type="dxa"/>
            <w:shd w:val="clear" w:color="auto" w:fill="auto"/>
          </w:tcPr>
          <w:p w14:paraId="770E01C5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  <w:tr w:rsidR="00967567" w14:paraId="4C177D01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56D78B2D" w14:textId="77777777" w:rsidR="00967567" w:rsidRPr="00C41789" w:rsidRDefault="00967567" w:rsidP="00D031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 xml:space="preserve">Piperonylbutoxide </w:t>
            </w:r>
          </w:p>
          <w:p w14:paraId="2603305D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841" w:type="dxa"/>
          </w:tcPr>
          <w:p w14:paraId="636332A7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33.4%</w:t>
            </w:r>
          </w:p>
        </w:tc>
        <w:tc>
          <w:tcPr>
            <w:tcW w:w="1826" w:type="dxa"/>
          </w:tcPr>
          <w:p w14:paraId="6F9B2CD2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0.82 (0.60-1.55)</w:t>
            </w:r>
          </w:p>
        </w:tc>
        <w:tc>
          <w:tcPr>
            <w:tcW w:w="1836" w:type="dxa"/>
          </w:tcPr>
          <w:p w14:paraId="2F1373AB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0.4307</w:t>
            </w:r>
          </w:p>
        </w:tc>
        <w:tc>
          <w:tcPr>
            <w:tcW w:w="1951" w:type="dxa"/>
          </w:tcPr>
          <w:p w14:paraId="184938DF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</w:tr>
      <w:tr w:rsidR="00967567" w14:paraId="296177E4" w14:textId="77777777" w:rsidTr="00D0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</w:tcPr>
          <w:p w14:paraId="3C237FD5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38EBDA82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37.1%</w:t>
            </w:r>
          </w:p>
        </w:tc>
        <w:tc>
          <w:tcPr>
            <w:tcW w:w="1826" w:type="dxa"/>
            <w:shd w:val="clear" w:color="auto" w:fill="auto"/>
          </w:tcPr>
          <w:p w14:paraId="4B2A75AF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0.88 (0.40-1.25)</w:t>
            </w:r>
          </w:p>
        </w:tc>
        <w:tc>
          <w:tcPr>
            <w:tcW w:w="1836" w:type="dxa"/>
            <w:shd w:val="clear" w:color="auto" w:fill="auto"/>
          </w:tcPr>
          <w:p w14:paraId="36F186DA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951" w:type="dxa"/>
            <w:shd w:val="clear" w:color="auto" w:fill="auto"/>
          </w:tcPr>
          <w:p w14:paraId="6ACF2F96" w14:textId="77777777" w:rsidR="00967567" w:rsidRDefault="00967567" w:rsidP="00D031D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</w:tr>
      <w:tr w:rsidR="00967567" w14:paraId="065E11AF" w14:textId="77777777" w:rsidTr="00D0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</w:tcPr>
          <w:p w14:paraId="1B413CF9" w14:textId="77777777" w:rsidR="00967567" w:rsidRDefault="00967567" w:rsidP="00D031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0CCD973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</w:t>
            </w:r>
          </w:p>
        </w:tc>
        <w:tc>
          <w:tcPr>
            <w:tcW w:w="1826" w:type="dxa"/>
          </w:tcPr>
          <w:p w14:paraId="3DBEE512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0.76 (0.50-1.12)</w:t>
            </w:r>
          </w:p>
        </w:tc>
        <w:tc>
          <w:tcPr>
            <w:tcW w:w="1836" w:type="dxa"/>
          </w:tcPr>
          <w:p w14:paraId="5F66CAA4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78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951" w:type="dxa"/>
          </w:tcPr>
          <w:p w14:paraId="0578CD06" w14:textId="77777777" w:rsidR="00967567" w:rsidRDefault="00967567" w:rsidP="00D031D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</w:tbl>
    <w:p w14:paraId="61D92A62" w14:textId="77777777" w:rsidR="00967567" w:rsidRDefault="00967567" w:rsidP="0096756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77F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3B4FE88" w14:textId="239B4A46" w:rsidR="00AD2DE4" w:rsidRDefault="00AD2DE4" w:rsidP="00AD2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59134" w14:textId="68153C17" w:rsidR="00AD2DE4" w:rsidRDefault="0055622E" w:rsidP="00AD2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D2DE4">
        <w:rPr>
          <w:rFonts w:ascii="Times New Roman" w:hAnsi="Times New Roman" w:cs="Times New Roman"/>
          <w:sz w:val="24"/>
          <w:szCs w:val="24"/>
        </w:rPr>
        <w:t>.</w:t>
      </w:r>
      <w:r w:rsidR="00AD2D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B4D991" wp14:editId="1F0B92E1">
            <wp:extent cx="4984694" cy="2508250"/>
            <wp:effectExtent l="0" t="0" r="6985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819" cy="2521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9A50D" w14:textId="0A264505" w:rsidR="00AD2DE4" w:rsidRDefault="00AD2DE4" w:rsidP="00AD2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617437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17437">
        <w:rPr>
          <w:rFonts w:ascii="Times New Roman" w:hAnsi="Times New Roman" w:cs="Times New Roman"/>
          <w:sz w:val="24"/>
          <w:szCs w:val="24"/>
        </w:rPr>
        <w:t xml:space="preserve"> (</w:t>
      </w:r>
      <w:r w:rsidR="0055622E">
        <w:rPr>
          <w:rFonts w:ascii="Times New Roman" w:hAnsi="Times New Roman" w:cs="Times New Roman"/>
          <w:sz w:val="24"/>
          <w:szCs w:val="24"/>
        </w:rPr>
        <w:t>a</w:t>
      </w:r>
      <w:r w:rsidRPr="00617437">
        <w:rPr>
          <w:rFonts w:ascii="Times New Roman" w:hAnsi="Times New Roman" w:cs="Times New Roman"/>
          <w:sz w:val="24"/>
          <w:szCs w:val="24"/>
        </w:rPr>
        <w:t xml:space="preserve">) Diagnostic plot showing both the fitted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617437">
        <w:rPr>
          <w:rFonts w:ascii="Times New Roman" w:hAnsi="Times New Roman" w:cs="Times New Roman"/>
          <w:sz w:val="24"/>
          <w:szCs w:val="24"/>
        </w:rPr>
        <w:t xml:space="preserve"> residuals and normal Q-Q plot of MAI vs. SAI.</w:t>
      </w:r>
    </w:p>
    <w:p w14:paraId="447DB505" w14:textId="40D250B7" w:rsidR="00AD2DE4" w:rsidRDefault="007F5AC5" w:rsidP="00AD2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D2DE4">
        <w:rPr>
          <w:rFonts w:ascii="Times New Roman" w:hAnsi="Times New Roman" w:cs="Times New Roman"/>
          <w:sz w:val="24"/>
          <w:szCs w:val="24"/>
        </w:rPr>
        <w:t>.</w:t>
      </w:r>
      <w:r w:rsidR="00AD2D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42AFEE" wp14:editId="28642E4E">
            <wp:extent cx="4887590" cy="2952750"/>
            <wp:effectExtent l="0" t="0" r="889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72" cy="297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65DBB" w14:textId="69CEB1F9" w:rsidR="00AD2DE4" w:rsidRDefault="00AD2DE4" w:rsidP="00AD2D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617437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7437">
        <w:rPr>
          <w:rFonts w:ascii="Times New Roman" w:hAnsi="Times New Roman" w:cs="Times New Roman"/>
          <w:sz w:val="24"/>
          <w:szCs w:val="24"/>
        </w:rPr>
        <w:t xml:space="preserve"> (a) Diagnostic plot showing both the fitted </w:t>
      </w:r>
      <w:r>
        <w:rPr>
          <w:rFonts w:ascii="Times New Roman" w:hAnsi="Times New Roman" w:cs="Times New Roman"/>
          <w:sz w:val="24"/>
          <w:szCs w:val="24"/>
        </w:rPr>
        <w:t>vs</w:t>
      </w:r>
      <w:r w:rsidRPr="00617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617437">
        <w:rPr>
          <w:rFonts w:ascii="Times New Roman" w:hAnsi="Times New Roman" w:cs="Times New Roman"/>
          <w:sz w:val="24"/>
          <w:szCs w:val="24"/>
        </w:rPr>
        <w:t xml:space="preserve"> residuals and </w:t>
      </w:r>
      <w:r>
        <w:rPr>
          <w:rFonts w:ascii="Times New Roman" w:hAnsi="Times New Roman" w:cs="Times New Roman"/>
          <w:sz w:val="24"/>
          <w:szCs w:val="24"/>
        </w:rPr>
        <w:t>standard</w:t>
      </w:r>
      <w:r w:rsidRPr="00617437">
        <w:rPr>
          <w:rFonts w:ascii="Times New Roman" w:hAnsi="Times New Roman" w:cs="Times New Roman"/>
          <w:sz w:val="24"/>
          <w:szCs w:val="24"/>
        </w:rPr>
        <w:t xml:space="preserve"> Q-Q plot of MAI vs. SAI</w:t>
      </w:r>
    </w:p>
    <w:p w14:paraId="73FB321D" w14:textId="77777777" w:rsidR="00B11D97" w:rsidRDefault="00B11D97" w:rsidP="00B11D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E7A80" w14:textId="286D39F6" w:rsidR="00B11D97" w:rsidRDefault="00B11D97" w:rsidP="00B11D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E2CA2" w14:textId="5C38B85D" w:rsidR="00B11D97" w:rsidRDefault="007F5AC5" w:rsidP="00B11D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11D97">
        <w:rPr>
          <w:rFonts w:ascii="Times New Roman" w:hAnsi="Times New Roman" w:cs="Times New Roman"/>
          <w:sz w:val="24"/>
          <w:szCs w:val="24"/>
        </w:rPr>
        <w:t>.</w:t>
      </w:r>
      <w:r w:rsidR="00B11D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D01B34" wp14:editId="7A35F1C6">
            <wp:extent cx="4259580" cy="2538730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719" cy="257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31C2B" w14:textId="6623862E" w:rsidR="00B11D97" w:rsidRDefault="00B11D97" w:rsidP="00B11D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Pr="00617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7437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437">
        <w:rPr>
          <w:rFonts w:ascii="Times New Roman" w:hAnsi="Times New Roman" w:cs="Times New Roman"/>
          <w:sz w:val="24"/>
          <w:szCs w:val="24"/>
        </w:rPr>
        <w:t xml:space="preserve">Diagnostic plot showing both the fitted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617437">
        <w:rPr>
          <w:rFonts w:ascii="Times New Roman" w:hAnsi="Times New Roman" w:cs="Times New Roman"/>
          <w:sz w:val="24"/>
          <w:szCs w:val="24"/>
        </w:rPr>
        <w:t xml:space="preserve"> residuals and normal Q-Q plot of MAI vs. SAI</w:t>
      </w:r>
    </w:p>
    <w:p w14:paraId="06FB1842" w14:textId="50C4B7BE" w:rsidR="00471902" w:rsidRPr="00E44367" w:rsidRDefault="00471902" w:rsidP="004719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AAC47D" wp14:editId="6F40D071">
            <wp:extent cx="2395035" cy="2540457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63" cy="254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E4748" w14:textId="77777777" w:rsidR="00471902" w:rsidRDefault="00471902" w:rsidP="004719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896182" wp14:editId="456E85C7">
            <wp:extent cx="4970611" cy="2168453"/>
            <wp:effectExtent l="0" t="0" r="1905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763" cy="2183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194EA" w14:textId="4933713C" w:rsidR="00471902" w:rsidRDefault="00471902" w:rsidP="004719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78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1E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051E8">
        <w:rPr>
          <w:rFonts w:ascii="Times New Roman" w:hAnsi="Times New Roman" w:cs="Times New Roman"/>
          <w:sz w:val="24"/>
          <w:szCs w:val="24"/>
        </w:rPr>
        <w:t>) and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2051E8">
        <w:rPr>
          <w:rFonts w:ascii="Times New Roman" w:hAnsi="Times New Roman" w:cs="Times New Roman"/>
          <w:sz w:val="24"/>
          <w:szCs w:val="24"/>
        </w:rPr>
        <w:t>) Forest and funnel plots</w:t>
      </w:r>
      <w:r>
        <w:rPr>
          <w:rFonts w:ascii="Times New Roman" w:hAnsi="Times New Roman" w:cs="Times New Roman"/>
          <w:sz w:val="24"/>
          <w:szCs w:val="24"/>
        </w:rPr>
        <w:t xml:space="preserve"> showing MAI vs SAI contrast in Intention-to-treat analysis, (c) Diagnostic plot showing both the fitted vs standardized residuals and normal Q-Q plot of MAI vs SAI.</w:t>
      </w:r>
    </w:p>
    <w:p w14:paraId="2D9A7CDF" w14:textId="77777777" w:rsidR="00471902" w:rsidRDefault="00471902" w:rsidP="004719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0EFD0F" wp14:editId="260EF328">
            <wp:extent cx="2969260" cy="2766936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494" cy="2789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.b.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92FCAE" wp14:editId="6FF46D0F">
            <wp:extent cx="2500439" cy="29279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39" cy="294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B542C4" w14:textId="77777777" w:rsidR="00471902" w:rsidRDefault="00471902" w:rsidP="004719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8CE17" wp14:editId="5FD702B9">
            <wp:extent cx="5437848" cy="29616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82" cy="2970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D27691" w14:textId="65D37382" w:rsidR="004F0E93" w:rsidRPr="006C1298" w:rsidRDefault="00471902" w:rsidP="00307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617437">
        <w:rPr>
          <w:rFonts w:ascii="Times New Roman" w:hAnsi="Times New Roman" w:cs="Times New Roman"/>
          <w:sz w:val="24"/>
          <w:szCs w:val="24"/>
        </w:rPr>
        <w:t xml:space="preserve">Figure </w:t>
      </w:r>
      <w:r w:rsidR="00307899">
        <w:rPr>
          <w:rFonts w:ascii="Times New Roman" w:hAnsi="Times New Roman" w:cs="Times New Roman"/>
          <w:sz w:val="24"/>
          <w:szCs w:val="24"/>
        </w:rPr>
        <w:t>5</w:t>
      </w:r>
      <w:r w:rsidRPr="00617437">
        <w:rPr>
          <w:rFonts w:ascii="Times New Roman" w:hAnsi="Times New Roman" w:cs="Times New Roman"/>
          <w:sz w:val="24"/>
          <w:szCs w:val="24"/>
        </w:rPr>
        <w:t xml:space="preserve"> (a) and (b) Forest and funnel plots showing MAI </w:t>
      </w:r>
      <w:r>
        <w:rPr>
          <w:rFonts w:ascii="Times New Roman" w:hAnsi="Times New Roman" w:cs="Times New Roman"/>
          <w:sz w:val="24"/>
          <w:szCs w:val="24"/>
        </w:rPr>
        <w:t xml:space="preserve">vs SAI contrast in Per-protocol analysis (malaria prevalence), (c) Diagnostic plot showing both the fitted vs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residuals and normal Q-Q plot of MAI vs</w:t>
      </w:r>
      <w:r w:rsidRPr="00617437">
        <w:rPr>
          <w:rFonts w:ascii="Times New Roman" w:hAnsi="Times New Roman" w:cs="Times New Roman"/>
          <w:sz w:val="24"/>
          <w:szCs w:val="24"/>
        </w:rPr>
        <w:t xml:space="preserve"> SAI.</w:t>
      </w:r>
    </w:p>
    <w:sectPr w:rsidR="004F0E93" w:rsidRPr="006C1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2F0F"/>
    <w:multiLevelType w:val="hybridMultilevel"/>
    <w:tmpl w:val="4F967D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84384"/>
    <w:multiLevelType w:val="multilevel"/>
    <w:tmpl w:val="ADDC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F1"/>
    <w:rsid w:val="00004FC8"/>
    <w:rsid w:val="001A75A2"/>
    <w:rsid w:val="002B1A6E"/>
    <w:rsid w:val="00307899"/>
    <w:rsid w:val="00471902"/>
    <w:rsid w:val="004F0E93"/>
    <w:rsid w:val="005025FC"/>
    <w:rsid w:val="0055622E"/>
    <w:rsid w:val="005E496F"/>
    <w:rsid w:val="00675EF1"/>
    <w:rsid w:val="006A5CB8"/>
    <w:rsid w:val="006C1298"/>
    <w:rsid w:val="007817D4"/>
    <w:rsid w:val="007D0BA8"/>
    <w:rsid w:val="007F5AC5"/>
    <w:rsid w:val="00845619"/>
    <w:rsid w:val="008D2463"/>
    <w:rsid w:val="008F0BFB"/>
    <w:rsid w:val="00954259"/>
    <w:rsid w:val="00967567"/>
    <w:rsid w:val="009F34F0"/>
    <w:rsid w:val="00AB3AD9"/>
    <w:rsid w:val="00AD2DE4"/>
    <w:rsid w:val="00AF74C7"/>
    <w:rsid w:val="00B11D97"/>
    <w:rsid w:val="00BE28DA"/>
    <w:rsid w:val="00D2311E"/>
    <w:rsid w:val="00E549F2"/>
    <w:rsid w:val="00E6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10B3A"/>
  <w15:chartTrackingRefBased/>
  <w15:docId w15:val="{3503E3E2-254D-4A87-AC2C-3DCFC8AC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4259"/>
    <w:rPr>
      <w:b/>
      <w:bCs/>
    </w:rPr>
  </w:style>
  <w:style w:type="table" w:styleId="ListTable6Colorful">
    <w:name w:val="List Table 6 Colorful"/>
    <w:basedOn w:val="TableNormal"/>
    <w:uiPriority w:val="51"/>
    <w:rsid w:val="009F34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471902"/>
    <w:pPr>
      <w:spacing w:after="0" w:line="240" w:lineRule="auto"/>
      <w:ind w:left="720"/>
      <w:contextualSpacing/>
    </w:pPr>
    <w:rPr>
      <w:kern w:val="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770</Words>
  <Characters>4899</Characters>
  <Application>Microsoft Office Word</Application>
  <DocSecurity>0</DocSecurity>
  <Lines>699</Lines>
  <Paragraphs>314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TAIWO, DAMILARE ISAIAH</dc:creator>
  <cp:keywords/>
  <dc:description/>
  <cp:lastModifiedBy>TAIWO, DAMILARE ISAIAH</cp:lastModifiedBy>
  <cp:revision>32</cp:revision>
  <dcterms:created xsi:type="dcterms:W3CDTF">2025-11-10T13:42:00Z</dcterms:created>
  <dcterms:modified xsi:type="dcterms:W3CDTF">2025-11-13T16:43:00Z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8d151973-2620-4bf7-ac4d-7a49c7f5665b</vt:lpwstr>
  </property>
</Properties>
</file>