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SUPPLEMENTAL   </w:t>
      </w:r>
    </w:p>
    <w:p w:rsidR="00000000" w:rsidDel="00000000" w:rsidP="00000000" w:rsidRDefault="00000000" w:rsidRPr="00000000" w14:paraId="00000002">
      <w:pPr>
        <w:spacing w:after="240" w:before="240" w:line="36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List S1</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i w:val="1"/>
          <w:sz w:val="20"/>
          <w:szCs w:val="20"/>
          <w:rtl w:val="0"/>
        </w:rPr>
        <w:t xml:space="preserve">List of Conditions Searched in ClinicalTrials.gov</w:t>
      </w:r>
      <w:r w:rsidDel="00000000" w:rsidR="00000000" w:rsidRPr="00000000">
        <w:rPr>
          <w:rFonts w:ascii="Times New Roman" w:cs="Times New Roman" w:eastAsia="Times New Roman" w:hAnsi="Times New Roman"/>
          <w:sz w:val="20"/>
          <w:szCs w:val="20"/>
          <w:rtl w:val="0"/>
        </w:rPr>
        <w:t xml:space="preserve">: “psoriasis,” “systemic lupus erythematosus,” “discoid lupus erythematosus,” “scleroderma,” “morphea,” “dermatomyositis,” “bullous pemphigoid,” “pemphigus vulgaris,” “pemphigus foliaceus,” “vitiligo,” “alopecia areata,” “lichen planus,” “linear IgA bullous dermatosis,” “autoimmune dermatitis,” “dermatitis herpetiformis,” “epidermolysis bullosa,” “chronic idiopathic urticaria,” “subacute cutaneous lupus erythematosus,” “urticarial vasculitis,”)</w:t>
      </w:r>
    </w:p>
    <w:p w:rsidR="00000000" w:rsidDel="00000000" w:rsidP="00000000" w:rsidRDefault="00000000" w:rsidRPr="00000000" w14:paraId="00000003">
      <w:pPr>
        <w:spacing w:after="240" w:before="240" w:line="360" w:lineRule="auto"/>
        <w:rPr>
          <w:rFonts w:ascii="Times New Roman" w:cs="Times New Roman" w:eastAsia="Times New Roman" w:hAnsi="Times New Roman"/>
          <w:sz w:val="20"/>
          <w:szCs w:val="20"/>
        </w:rPr>
      </w:pPr>
      <w:r w:rsidDel="00000000" w:rsidR="00000000" w:rsidRPr="00000000">
        <w:rPr>
          <w:rtl w:val="0"/>
        </w:rPr>
      </w:r>
    </w:p>
    <w:tbl>
      <w:tblPr>
        <w:tblStyle w:val="Table1"/>
        <w:tblW w:w="939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290"/>
        <w:gridCol w:w="2775"/>
        <w:gridCol w:w="1065"/>
        <w:gridCol w:w="660"/>
        <w:gridCol w:w="1035"/>
        <w:gridCol w:w="1065"/>
        <w:gridCol w:w="1500"/>
        <w:tblGridChange w:id="0">
          <w:tblGrid>
            <w:gridCol w:w="1290"/>
            <w:gridCol w:w="2775"/>
            <w:gridCol w:w="1065"/>
            <w:gridCol w:w="660"/>
            <w:gridCol w:w="1035"/>
            <w:gridCol w:w="1065"/>
            <w:gridCol w:w="1500"/>
          </w:tblGrid>
        </w:tblGridChange>
      </w:tblGrid>
      <w:tr>
        <w:trPr>
          <w:cantSplit w:val="0"/>
          <w:trHeight w:val="525.053988139462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04">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NCTId</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05">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Title</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06">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Enrollment Count</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07">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 of Sites</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08">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Start Date</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09">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End Date</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0A">
            <w:pPr>
              <w:widowControl w:val="0"/>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Decentralized Trial Strategy</w:t>
            </w:r>
          </w:p>
        </w:tc>
      </w:tr>
      <w:tr>
        <w:trPr>
          <w:cantSplit w:val="0"/>
          <w:trHeight w:val="698.4326171874999" w:hRule="atLeast"/>
          <w:tblHeader w:val="0"/>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0B">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NCT03840928</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0C">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PatientSpot Formerly Known as ArthritisPower</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0D">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40000</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0E">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0F">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2015-04-01</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10">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2025-03-01</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11">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Web/Mobile/App Based Data Collection</w:t>
            </w:r>
          </w:p>
        </w:tc>
      </w:tr>
      <w:tr>
        <w:trPr>
          <w:cantSplit w:val="0"/>
          <w:trHeight w:val="280.2462468838865" w:hRule="atLeast"/>
          <w:tblHeader w:val="0"/>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12">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NCT04110522</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13">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Psoriatic Arthritis D2P Screening</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14">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18000</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15">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16">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2019-07-22</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17">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2025-12-31</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18">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Mailed Survey</w:t>
            </w:r>
          </w:p>
        </w:tc>
      </w:tr>
      <w:tr>
        <w:trPr>
          <w:cantSplit w:val="0"/>
          <w:trHeight w:val="1116.6189874911133" w:hRule="atLeast"/>
          <w:tblHeader w:val="0"/>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19">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NCT01931644</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1A">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At-Home Research Study for Patients With Autoimmune, Inflammatory, Genetic, Hematological, Infectious, Neurological, CNS, etc.</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1B">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17667</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1C">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1D">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2013-07</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1E">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2024-04</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1F">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mHealth App</w:t>
            </w:r>
          </w:p>
        </w:tc>
      </w:tr>
      <w:tr>
        <w:trPr>
          <w:cantSplit w:val="0"/>
          <w:trHeight w:val="698.4326171874999" w:hRule="atLeast"/>
          <w:tblHeader w:val="0"/>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20">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NCT03661866</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21">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 Longitudinal Observational Study of Patients Undergoing Therapy for IMISC</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22">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15000</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23">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63</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24">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2018-12-21</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25">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2050-12</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26">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Community Center Recruitment</w:t>
            </w:r>
          </w:p>
        </w:tc>
      </w:tr>
      <w:tr>
        <w:trPr>
          <w:cantSplit w:val="0"/>
          <w:trHeight w:val="1116.6189874911133" w:hRule="atLeast"/>
          <w:tblHeader w:val="0"/>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27">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NCT05084417</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28">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 Prospective, Observational Study of Clinician and Patient-reported Outcomes in Patients With Dermatological Conditions</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29">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10000</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2A">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2B">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2023-06-09</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2C">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2026-01-15</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2D">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N/A</w:t>
            </w:r>
          </w:p>
        </w:tc>
      </w:tr>
    </w:tbl>
    <w:p w:rsidR="00000000" w:rsidDel="00000000" w:rsidP="00000000" w:rsidRDefault="00000000" w:rsidRPr="00000000" w14:paraId="0000002E">
      <w:pPr>
        <w:spacing w:after="240" w:before="240" w:line="240" w:lineRule="auto"/>
        <w:rPr>
          <w:rFonts w:ascii="Times New Roman" w:cs="Times New Roman" w:eastAsia="Times New Roman" w:hAnsi="Times New Roman"/>
          <w:b w:val="1"/>
          <w:sz w:val="18"/>
          <w:szCs w:val="18"/>
        </w:rPr>
      </w:pPr>
      <w:r w:rsidDel="00000000" w:rsidR="00000000" w:rsidRPr="00000000">
        <w:rPr>
          <w:rtl w:val="0"/>
        </w:rPr>
      </w:r>
    </w:p>
    <w:p w:rsidR="00000000" w:rsidDel="00000000" w:rsidP="00000000" w:rsidRDefault="00000000" w:rsidRPr="00000000" w14:paraId="0000002F">
      <w:pPr>
        <w:spacing w:after="240" w:before="240" w:line="24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b w:val="1"/>
          <w:sz w:val="18"/>
          <w:szCs w:val="18"/>
          <w:rtl w:val="0"/>
        </w:rPr>
        <w:t xml:space="preserve">Table S1. </w:t>
      </w:r>
      <w:r w:rsidDel="00000000" w:rsidR="00000000" w:rsidRPr="00000000">
        <w:rPr>
          <w:rFonts w:ascii="Times New Roman" w:cs="Times New Roman" w:eastAsia="Times New Roman" w:hAnsi="Times New Roman"/>
          <w:i w:val="1"/>
          <w:sz w:val="18"/>
          <w:szCs w:val="18"/>
          <w:rtl w:val="0"/>
        </w:rPr>
        <w:t xml:space="preserve">Top 5 Clinical Studies by Enrollment for Autoimmune and Dermatological Conditions.</w:t>
      </w:r>
      <w:r w:rsidDel="00000000" w:rsidR="00000000" w:rsidRPr="00000000">
        <w:rPr>
          <w:rFonts w:ascii="Times New Roman" w:cs="Times New Roman" w:eastAsia="Times New Roman" w:hAnsi="Times New Roman"/>
          <w:sz w:val="18"/>
          <w:szCs w:val="18"/>
          <w:rtl w:val="0"/>
        </w:rPr>
        <w:t xml:space="preserve"> The table lists the top five clinical studies ranked by enrollment count, providing information about the study title, enrollment numbers, number of sites, and the start and end dates. </w:t>
      </w:r>
    </w:p>
    <w:p w:rsidR="00000000" w:rsidDel="00000000" w:rsidP="00000000" w:rsidRDefault="00000000" w:rsidRPr="00000000" w14:paraId="00000030">
      <w:pPr>
        <w:spacing w:after="240" w:before="240" w:line="240" w:lineRule="auto"/>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31">
      <w:pPr>
        <w:spacing w:after="240" w:before="240" w:lineRule="auto"/>
        <w:rPr>
          <w:rFonts w:ascii="Times New Roman" w:cs="Times New Roman" w:eastAsia="Times New Roman" w:hAnsi="Times New Roman"/>
          <w:b w:val="1"/>
          <w:sz w:val="18"/>
          <w:szCs w:val="18"/>
        </w:rPr>
      </w:pPr>
      <w:r w:rsidDel="00000000" w:rsidR="00000000" w:rsidRPr="00000000">
        <w:rPr>
          <w:rFonts w:ascii="Times New Roman" w:cs="Times New Roman" w:eastAsia="Times New Roman" w:hAnsi="Times New Roman"/>
          <w:b w:val="1"/>
          <w:sz w:val="18"/>
          <w:szCs w:val="18"/>
        </w:rPr>
        <w:drawing>
          <wp:inline distB="114300" distT="114300" distL="114300" distR="114300">
            <wp:extent cx="3748649" cy="2490769"/>
            <wp:effectExtent b="0" l="0" r="0" t="0"/>
            <wp:docPr id="5" name="image3.png"/>
            <a:graphic>
              <a:graphicData uri="http://schemas.openxmlformats.org/drawingml/2006/picture">
                <pic:pic>
                  <pic:nvPicPr>
                    <pic:cNvPr id="0" name="image3.png"/>
                    <pic:cNvPicPr preferRelativeResize="0"/>
                  </pic:nvPicPr>
                  <pic:blipFill>
                    <a:blip r:embed="rId6"/>
                    <a:srcRect b="0" l="0" r="0" t="0"/>
                    <a:stretch>
                      <a:fillRect/>
                    </a:stretch>
                  </pic:blipFill>
                  <pic:spPr>
                    <a:xfrm>
                      <a:off x="0" y="0"/>
                      <a:ext cx="3748649" cy="2490769"/>
                    </a:xfrm>
                    <a:prstGeom prst="rect"/>
                    <a:ln/>
                  </pic:spPr>
                </pic:pic>
              </a:graphicData>
            </a:graphic>
          </wp:inline>
        </w:drawing>
      </w:r>
      <w:r w:rsidDel="00000000" w:rsidR="00000000" w:rsidRPr="00000000">
        <w:rPr>
          <w:rtl w:val="0"/>
        </w:rPr>
      </w:r>
    </w:p>
    <w:p w:rsidR="00000000" w:rsidDel="00000000" w:rsidP="00000000" w:rsidRDefault="00000000" w:rsidRPr="00000000" w14:paraId="00000032">
      <w:pPr>
        <w:spacing w:after="240" w:before="240" w:lineRule="auto"/>
        <w:rPr>
          <w:rFonts w:ascii="Times New Roman" w:cs="Times New Roman" w:eastAsia="Times New Roman" w:hAnsi="Times New Roman"/>
          <w:b w:val="1"/>
          <w:sz w:val="18"/>
          <w:szCs w:val="18"/>
        </w:rPr>
      </w:pPr>
      <w:r w:rsidDel="00000000" w:rsidR="00000000" w:rsidRPr="00000000">
        <w:rPr>
          <w:rFonts w:ascii="Times New Roman" w:cs="Times New Roman" w:eastAsia="Times New Roman" w:hAnsi="Times New Roman"/>
          <w:b w:val="1"/>
          <w:sz w:val="18"/>
          <w:szCs w:val="18"/>
          <w:rtl w:val="0"/>
        </w:rPr>
        <w:t xml:space="preserve">Figure S1.</w:t>
      </w:r>
      <w:r w:rsidDel="00000000" w:rsidR="00000000" w:rsidRPr="00000000">
        <w:rPr>
          <w:rFonts w:ascii="Times New Roman" w:cs="Times New Roman" w:eastAsia="Times New Roman" w:hAnsi="Times New Roman"/>
          <w:b w:val="1"/>
          <w:i w:val="1"/>
          <w:sz w:val="18"/>
          <w:szCs w:val="18"/>
          <w:rtl w:val="0"/>
        </w:rPr>
        <w:t xml:space="preserve"> </w:t>
      </w:r>
      <w:r w:rsidDel="00000000" w:rsidR="00000000" w:rsidRPr="00000000">
        <w:rPr>
          <w:rFonts w:ascii="Times New Roman" w:cs="Times New Roman" w:eastAsia="Times New Roman" w:hAnsi="Times New Roman"/>
          <w:i w:val="1"/>
          <w:sz w:val="18"/>
          <w:szCs w:val="18"/>
          <w:rtl w:val="0"/>
        </w:rPr>
        <w:t xml:space="preserve">Boxplot of Distances to Nearest Clinical study by Year. </w:t>
      </w:r>
      <w:r w:rsidDel="00000000" w:rsidR="00000000" w:rsidRPr="00000000">
        <w:rPr>
          <w:rFonts w:ascii="Times New Roman" w:cs="Times New Roman" w:eastAsia="Times New Roman" w:hAnsi="Times New Roman"/>
          <w:sz w:val="18"/>
          <w:szCs w:val="18"/>
          <w:rtl w:val="0"/>
        </w:rPr>
        <w:t xml:space="preserve">This boxplot shows the yearly distribution of distances to the nearest clinical study site from 2005 to 2024. Each box represents the interquartile range, with the median distance marked inside the box. The reduction in the median and IQR values over time indicates better accessibility to clinical studies, though maximum distances remain relatively high in specific years.</w:t>
      </w:r>
      <w:r w:rsidDel="00000000" w:rsidR="00000000" w:rsidRPr="00000000">
        <w:rPr>
          <w:rtl w:val="0"/>
        </w:rPr>
      </w:r>
    </w:p>
    <w:p w:rsidR="00000000" w:rsidDel="00000000" w:rsidP="00000000" w:rsidRDefault="00000000" w:rsidRPr="00000000" w14:paraId="00000033">
      <w:pPr>
        <w:spacing w:after="240" w:before="240" w:lineRule="auto"/>
        <w:rPr>
          <w:rFonts w:ascii="Times New Roman" w:cs="Times New Roman" w:eastAsia="Times New Roman" w:hAnsi="Times New Roman"/>
          <w:b w:val="1"/>
          <w:sz w:val="18"/>
          <w:szCs w:val="18"/>
        </w:rPr>
      </w:pPr>
      <w:r w:rsidDel="00000000" w:rsidR="00000000" w:rsidRPr="00000000">
        <w:rPr>
          <w:rtl w:val="0"/>
        </w:rPr>
      </w:r>
    </w:p>
    <w:p w:rsidR="00000000" w:rsidDel="00000000" w:rsidP="00000000" w:rsidRDefault="00000000" w:rsidRPr="00000000" w14:paraId="00000034">
      <w:pPr>
        <w:spacing w:after="240" w:before="240" w:lineRule="auto"/>
        <w:rPr>
          <w:rFonts w:ascii="Times New Roman" w:cs="Times New Roman" w:eastAsia="Times New Roman" w:hAnsi="Times New Roman"/>
          <w:b w:val="1"/>
          <w:sz w:val="18"/>
          <w:szCs w:val="18"/>
        </w:rPr>
      </w:pPr>
      <w:r w:rsidDel="00000000" w:rsidR="00000000" w:rsidRPr="00000000">
        <w:rPr>
          <w:rFonts w:ascii="Times New Roman" w:cs="Times New Roman" w:eastAsia="Times New Roman" w:hAnsi="Times New Roman"/>
          <w:b w:val="1"/>
          <w:sz w:val="18"/>
          <w:szCs w:val="18"/>
        </w:rPr>
        <w:drawing>
          <wp:inline distB="114300" distT="114300" distL="114300" distR="114300">
            <wp:extent cx="4582426" cy="3036981"/>
            <wp:effectExtent b="0" l="0" r="0" t="0"/>
            <wp:docPr id="3" name="image4.png"/>
            <a:graphic>
              <a:graphicData uri="http://schemas.openxmlformats.org/drawingml/2006/picture">
                <pic:pic>
                  <pic:nvPicPr>
                    <pic:cNvPr id="0" name="image4.png"/>
                    <pic:cNvPicPr preferRelativeResize="0"/>
                  </pic:nvPicPr>
                  <pic:blipFill>
                    <a:blip r:embed="rId7"/>
                    <a:srcRect b="0" l="0" r="0" t="0"/>
                    <a:stretch>
                      <a:fillRect/>
                    </a:stretch>
                  </pic:blipFill>
                  <pic:spPr>
                    <a:xfrm>
                      <a:off x="0" y="0"/>
                      <a:ext cx="4582426" cy="3036981"/>
                    </a:xfrm>
                    <a:prstGeom prst="rect"/>
                    <a:ln/>
                  </pic:spPr>
                </pic:pic>
              </a:graphicData>
            </a:graphic>
          </wp:inline>
        </w:drawing>
      </w:r>
      <w:r w:rsidDel="00000000" w:rsidR="00000000" w:rsidRPr="00000000">
        <w:rPr>
          <w:rtl w:val="0"/>
        </w:rPr>
      </w:r>
    </w:p>
    <w:p w:rsidR="00000000" w:rsidDel="00000000" w:rsidP="00000000" w:rsidRDefault="00000000" w:rsidRPr="00000000" w14:paraId="00000035">
      <w:pPr>
        <w:spacing w:after="240" w:before="24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b w:val="1"/>
          <w:sz w:val="18"/>
          <w:szCs w:val="18"/>
          <w:rtl w:val="0"/>
        </w:rPr>
        <w:t xml:space="preserve">Figure S2. </w:t>
      </w:r>
      <w:r w:rsidDel="00000000" w:rsidR="00000000" w:rsidRPr="00000000">
        <w:rPr>
          <w:rFonts w:ascii="Times New Roman" w:cs="Times New Roman" w:eastAsia="Times New Roman" w:hAnsi="Times New Roman"/>
          <w:i w:val="1"/>
          <w:sz w:val="18"/>
          <w:szCs w:val="18"/>
          <w:rtl w:val="0"/>
        </w:rPr>
        <w:t xml:space="preserve">Distance to Nearest Clinical study at Different Percentiles Over Time.</w:t>
      </w:r>
      <w:r w:rsidDel="00000000" w:rsidR="00000000" w:rsidRPr="00000000">
        <w:rPr>
          <w:rFonts w:ascii="Times New Roman" w:cs="Times New Roman" w:eastAsia="Times New Roman" w:hAnsi="Times New Roman"/>
          <w:sz w:val="18"/>
          <w:szCs w:val="18"/>
          <w:rtl w:val="0"/>
        </w:rPr>
        <w:t xml:space="preserve"> This line graph illustrates the distance to the nearest clinical study site at various population percentiles over time, from the 10th to the 90th percentile. Higher percentiles represent farther distances for a proportion of the population, with the 90th percentile showing the greatest distances. The data demonstrates a reduction in distances over time across all percentiles, suggesting an improvement in accessibility.</w:t>
      </w:r>
    </w:p>
    <w:p w:rsidR="00000000" w:rsidDel="00000000" w:rsidP="00000000" w:rsidRDefault="00000000" w:rsidRPr="00000000" w14:paraId="00000036">
      <w:pPr>
        <w:spacing w:after="240" w:before="240" w:lineRule="auto"/>
        <w:rPr>
          <w:rFonts w:ascii="Times New Roman" w:cs="Times New Roman" w:eastAsia="Times New Roman" w:hAnsi="Times New Roman"/>
          <w:b w:val="1"/>
          <w:sz w:val="18"/>
          <w:szCs w:val="18"/>
        </w:rPr>
      </w:pPr>
      <w:r w:rsidDel="00000000" w:rsidR="00000000" w:rsidRPr="00000000">
        <w:rPr>
          <w:rFonts w:ascii="Times New Roman" w:cs="Times New Roman" w:eastAsia="Times New Roman" w:hAnsi="Times New Roman"/>
          <w:b w:val="1"/>
          <w:sz w:val="18"/>
          <w:szCs w:val="18"/>
        </w:rPr>
        <w:drawing>
          <wp:inline distB="114300" distT="114300" distL="114300" distR="114300">
            <wp:extent cx="4519613" cy="3005832"/>
            <wp:effectExtent b="0" l="0" r="0" t="0"/>
            <wp:docPr id="4" name="image6.png"/>
            <a:graphic>
              <a:graphicData uri="http://schemas.openxmlformats.org/drawingml/2006/picture">
                <pic:pic>
                  <pic:nvPicPr>
                    <pic:cNvPr id="0" name="image6.png"/>
                    <pic:cNvPicPr preferRelativeResize="0"/>
                  </pic:nvPicPr>
                  <pic:blipFill>
                    <a:blip r:embed="rId8"/>
                    <a:srcRect b="0" l="0" r="0" t="0"/>
                    <a:stretch>
                      <a:fillRect/>
                    </a:stretch>
                  </pic:blipFill>
                  <pic:spPr>
                    <a:xfrm>
                      <a:off x="0" y="0"/>
                      <a:ext cx="4519613" cy="3005832"/>
                    </a:xfrm>
                    <a:prstGeom prst="rect"/>
                    <a:ln/>
                  </pic:spPr>
                </pic:pic>
              </a:graphicData>
            </a:graphic>
          </wp:inline>
        </w:drawing>
      </w:r>
      <w:r w:rsidDel="00000000" w:rsidR="00000000" w:rsidRPr="00000000">
        <w:rPr>
          <w:rtl w:val="0"/>
        </w:rPr>
      </w:r>
    </w:p>
    <w:p w:rsidR="00000000" w:rsidDel="00000000" w:rsidP="00000000" w:rsidRDefault="00000000" w:rsidRPr="00000000" w14:paraId="00000037">
      <w:pPr>
        <w:spacing w:after="240" w:before="24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b w:val="1"/>
          <w:sz w:val="18"/>
          <w:szCs w:val="18"/>
          <w:rtl w:val="0"/>
        </w:rPr>
        <w:t xml:space="preserve">Figure S3.</w:t>
      </w:r>
      <w:r w:rsidDel="00000000" w:rsidR="00000000" w:rsidRPr="00000000">
        <w:rPr>
          <w:rFonts w:ascii="Times New Roman" w:cs="Times New Roman" w:eastAsia="Times New Roman" w:hAnsi="Times New Roman"/>
          <w:sz w:val="18"/>
          <w:szCs w:val="18"/>
          <w:rtl w:val="0"/>
        </w:rPr>
        <w:t xml:space="preserve"> </w:t>
      </w:r>
      <w:r w:rsidDel="00000000" w:rsidR="00000000" w:rsidRPr="00000000">
        <w:rPr>
          <w:rFonts w:ascii="Times New Roman" w:cs="Times New Roman" w:eastAsia="Times New Roman" w:hAnsi="Times New Roman"/>
          <w:i w:val="1"/>
          <w:sz w:val="18"/>
          <w:szCs w:val="18"/>
          <w:rtl w:val="0"/>
        </w:rPr>
        <w:t xml:space="preserve">Population Coverage within Various Distance Thresholds Over Time. </w:t>
      </w:r>
      <w:r w:rsidDel="00000000" w:rsidR="00000000" w:rsidRPr="00000000">
        <w:rPr>
          <w:rFonts w:ascii="Times New Roman" w:cs="Times New Roman" w:eastAsia="Times New Roman" w:hAnsi="Times New Roman"/>
          <w:sz w:val="18"/>
          <w:szCs w:val="18"/>
          <w:rtl w:val="0"/>
        </w:rPr>
        <w:t xml:space="preserve">This line graph represents the population percentage within specific distance thresholds (10-100 miles) of clinical study sites over time. The trendlines show a general increase in population coverage across all distances, with the steepest gains for shorter distances. This shows that a growing proportion of the population has closer access to clinical studies.</w:t>
      </w:r>
    </w:p>
    <w:p w:rsidR="00000000" w:rsidDel="00000000" w:rsidP="00000000" w:rsidRDefault="00000000" w:rsidRPr="00000000" w14:paraId="00000038">
      <w:pPr>
        <w:spacing w:after="240" w:before="240" w:lineRule="auto"/>
        <w:rPr>
          <w:rFonts w:ascii="Times New Roman" w:cs="Times New Roman" w:eastAsia="Times New Roman" w:hAnsi="Times New Roman"/>
          <w:b w:val="1"/>
          <w:sz w:val="18"/>
          <w:szCs w:val="18"/>
        </w:rPr>
      </w:pPr>
      <w:r w:rsidDel="00000000" w:rsidR="00000000" w:rsidRPr="00000000">
        <w:rPr>
          <w:rFonts w:ascii="Times New Roman" w:cs="Times New Roman" w:eastAsia="Times New Roman" w:hAnsi="Times New Roman"/>
          <w:b w:val="1"/>
          <w:sz w:val="18"/>
          <w:szCs w:val="18"/>
        </w:rPr>
        <w:drawing>
          <wp:inline distB="114300" distT="114300" distL="114300" distR="114300">
            <wp:extent cx="5160898" cy="2575930"/>
            <wp:effectExtent b="0" l="0" r="0" t="0"/>
            <wp:docPr id="1"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5160898" cy="2575930"/>
                    </a:xfrm>
                    <a:prstGeom prst="rect"/>
                    <a:ln/>
                  </pic:spPr>
                </pic:pic>
              </a:graphicData>
            </a:graphic>
          </wp:inline>
        </w:drawing>
      </w:r>
      <w:r w:rsidDel="00000000" w:rsidR="00000000" w:rsidRPr="00000000">
        <w:rPr>
          <w:rtl w:val="0"/>
        </w:rPr>
      </w:r>
    </w:p>
    <w:p w:rsidR="00000000" w:rsidDel="00000000" w:rsidP="00000000" w:rsidRDefault="00000000" w:rsidRPr="00000000" w14:paraId="00000039">
      <w:pPr>
        <w:spacing w:after="240" w:before="24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b w:val="1"/>
          <w:sz w:val="18"/>
          <w:szCs w:val="18"/>
          <w:rtl w:val="0"/>
        </w:rPr>
        <w:t xml:space="preserve">Figure S4. </w:t>
      </w:r>
      <w:r w:rsidDel="00000000" w:rsidR="00000000" w:rsidRPr="00000000">
        <w:rPr>
          <w:rFonts w:ascii="Times New Roman" w:cs="Times New Roman" w:eastAsia="Times New Roman" w:hAnsi="Times New Roman"/>
          <w:i w:val="1"/>
          <w:sz w:val="18"/>
          <w:szCs w:val="18"/>
          <w:rtl w:val="0"/>
        </w:rPr>
        <w:t xml:space="preserve">Average Distance to Nearest Clinical Study by Race with 95% Confidence Intervals. </w:t>
      </w:r>
      <w:r w:rsidDel="00000000" w:rsidR="00000000" w:rsidRPr="00000000">
        <w:rPr>
          <w:rFonts w:ascii="Times New Roman" w:cs="Times New Roman" w:eastAsia="Times New Roman" w:hAnsi="Times New Roman"/>
          <w:sz w:val="18"/>
          <w:szCs w:val="18"/>
          <w:rtl w:val="0"/>
        </w:rPr>
        <w:t xml:space="preserve">This bar graph shows the average distance to the nearest clinical study for autoimmune conditions, broken down by racial groups in miles and kilometers. The error bars represent 95% confidence intervals. Notably, American Indian populations have the most significant average distance to clinical study sites, showing a potential geographic disparity in access to research opportunities. In contrast, Asian populations have the shortest average distance, indicating closer proximity to clinical study locations.</w:t>
      </w:r>
    </w:p>
    <w:p w:rsidR="00000000" w:rsidDel="00000000" w:rsidP="00000000" w:rsidRDefault="00000000" w:rsidRPr="00000000" w14:paraId="0000003A">
      <w:pPr>
        <w:spacing w:after="240" w:before="240" w:lineRule="auto"/>
        <w:rPr>
          <w:rFonts w:ascii="Times New Roman" w:cs="Times New Roman" w:eastAsia="Times New Roman" w:hAnsi="Times New Roman"/>
          <w:b w:val="1"/>
          <w:sz w:val="18"/>
          <w:szCs w:val="18"/>
        </w:rPr>
      </w:pPr>
      <w:r w:rsidDel="00000000" w:rsidR="00000000" w:rsidRPr="00000000">
        <w:rPr>
          <w:rFonts w:ascii="Times New Roman" w:cs="Times New Roman" w:eastAsia="Times New Roman" w:hAnsi="Times New Roman"/>
          <w:b w:val="1"/>
          <w:sz w:val="18"/>
          <w:szCs w:val="18"/>
        </w:rPr>
        <w:drawing>
          <wp:inline distB="114300" distT="114300" distL="114300" distR="114300">
            <wp:extent cx="4633328" cy="2781703"/>
            <wp:effectExtent b="0" l="0" r="0" t="0"/>
            <wp:docPr id="6" name="image2.png"/>
            <a:graphic>
              <a:graphicData uri="http://schemas.openxmlformats.org/drawingml/2006/picture">
                <pic:pic>
                  <pic:nvPicPr>
                    <pic:cNvPr id="0" name="image2.png"/>
                    <pic:cNvPicPr preferRelativeResize="0"/>
                  </pic:nvPicPr>
                  <pic:blipFill>
                    <a:blip r:embed="rId10"/>
                    <a:srcRect b="0" l="0" r="0" t="0"/>
                    <a:stretch>
                      <a:fillRect/>
                    </a:stretch>
                  </pic:blipFill>
                  <pic:spPr>
                    <a:xfrm>
                      <a:off x="0" y="0"/>
                      <a:ext cx="4633328" cy="2781703"/>
                    </a:xfrm>
                    <a:prstGeom prst="rect"/>
                    <a:ln/>
                  </pic:spPr>
                </pic:pic>
              </a:graphicData>
            </a:graphic>
          </wp:inline>
        </w:drawing>
      </w:r>
      <w:r w:rsidDel="00000000" w:rsidR="00000000" w:rsidRPr="00000000">
        <w:rPr>
          <w:rtl w:val="0"/>
        </w:rPr>
      </w:r>
    </w:p>
    <w:p w:rsidR="00000000" w:rsidDel="00000000" w:rsidP="00000000" w:rsidRDefault="00000000" w:rsidRPr="00000000" w14:paraId="0000003B">
      <w:pPr>
        <w:spacing w:after="240" w:before="24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b w:val="1"/>
          <w:color w:val="1f1f1f"/>
          <w:sz w:val="18"/>
          <w:szCs w:val="18"/>
          <w:highlight w:val="white"/>
          <w:rtl w:val="0"/>
        </w:rPr>
        <w:t xml:space="preserve">Figure S5.</w:t>
      </w:r>
      <w:r w:rsidDel="00000000" w:rsidR="00000000" w:rsidRPr="00000000">
        <w:rPr>
          <w:rFonts w:ascii="Times New Roman" w:cs="Times New Roman" w:eastAsia="Times New Roman" w:hAnsi="Times New Roman"/>
          <w:color w:val="1f1f1f"/>
          <w:sz w:val="18"/>
          <w:szCs w:val="18"/>
          <w:highlight w:val="white"/>
          <w:rtl w:val="0"/>
        </w:rPr>
        <w:t xml:space="preserve"> </w:t>
      </w:r>
      <w:r w:rsidDel="00000000" w:rsidR="00000000" w:rsidRPr="00000000">
        <w:rPr>
          <w:rFonts w:ascii="Times New Roman" w:cs="Times New Roman" w:eastAsia="Times New Roman" w:hAnsi="Times New Roman"/>
          <w:i w:val="1"/>
          <w:color w:val="1f1f1f"/>
          <w:sz w:val="18"/>
          <w:szCs w:val="18"/>
          <w:highlight w:val="white"/>
          <w:rtl w:val="0"/>
        </w:rPr>
        <w:t xml:space="preserve">Average Distance to Nearest Clinical study by RUCA Category with 95% Confidence Intervals</w:t>
      </w:r>
      <w:r w:rsidDel="00000000" w:rsidR="00000000" w:rsidRPr="00000000">
        <w:rPr>
          <w:rFonts w:ascii="Times New Roman" w:cs="Times New Roman" w:eastAsia="Times New Roman" w:hAnsi="Times New Roman"/>
          <w:color w:val="1f1f1f"/>
          <w:sz w:val="18"/>
          <w:szCs w:val="18"/>
          <w:highlight w:val="white"/>
          <w:rtl w:val="0"/>
        </w:rPr>
        <w:t xml:space="preserve">. </w:t>
      </w:r>
      <w:r w:rsidDel="00000000" w:rsidR="00000000" w:rsidRPr="00000000">
        <w:rPr>
          <w:rFonts w:ascii="Times New Roman" w:cs="Times New Roman" w:eastAsia="Times New Roman" w:hAnsi="Times New Roman"/>
          <w:color w:val="1f1f1f"/>
          <w:sz w:val="18"/>
          <w:szCs w:val="18"/>
          <w:rtl w:val="0"/>
        </w:rPr>
        <w:t xml:space="preserve">The bar graph shows the average distance to the nearest clinical study for autoimmune conditions, categorized by RUCA classification: Metropolitan, Micropolitan, Small Town, and Rural. Distances are shown in miles and kilometers with 95% confidence intervals. This graph shows that participants in rural areas face the greatest average distance to study sites, showing significant disparities in clinical study accessibility based on geographic classification.</w:t>
      </w:r>
      <w:r w:rsidDel="00000000" w:rsidR="00000000" w:rsidRPr="00000000">
        <w:rPr>
          <w:rtl w:val="0"/>
        </w:rPr>
      </w:r>
    </w:p>
    <w:p w:rsidR="00000000" w:rsidDel="00000000" w:rsidP="00000000" w:rsidRDefault="00000000" w:rsidRPr="00000000" w14:paraId="0000003C">
      <w:pPr>
        <w:spacing w:after="240" w:before="240" w:lineRule="auto"/>
        <w:rPr>
          <w:rFonts w:ascii="Times New Roman" w:cs="Times New Roman" w:eastAsia="Times New Roman" w:hAnsi="Times New Roman"/>
          <w:b w:val="1"/>
          <w:sz w:val="18"/>
          <w:szCs w:val="18"/>
        </w:rPr>
      </w:pPr>
      <w:r w:rsidDel="00000000" w:rsidR="00000000" w:rsidRPr="00000000">
        <w:rPr>
          <w:rFonts w:ascii="Times New Roman" w:cs="Times New Roman" w:eastAsia="Times New Roman" w:hAnsi="Times New Roman"/>
          <w:b w:val="1"/>
          <w:sz w:val="18"/>
          <w:szCs w:val="18"/>
        </w:rPr>
        <w:drawing>
          <wp:inline distB="114300" distT="114300" distL="114300" distR="114300">
            <wp:extent cx="4976813" cy="1985940"/>
            <wp:effectExtent b="0" l="0" r="0" t="0"/>
            <wp:docPr id="2" name="image5.png"/>
            <a:graphic>
              <a:graphicData uri="http://schemas.openxmlformats.org/drawingml/2006/picture">
                <pic:pic>
                  <pic:nvPicPr>
                    <pic:cNvPr id="0" name="image5.png"/>
                    <pic:cNvPicPr preferRelativeResize="0"/>
                  </pic:nvPicPr>
                  <pic:blipFill>
                    <a:blip r:embed="rId11"/>
                    <a:srcRect b="0" l="0" r="0" t="0"/>
                    <a:stretch>
                      <a:fillRect/>
                    </a:stretch>
                  </pic:blipFill>
                  <pic:spPr>
                    <a:xfrm>
                      <a:off x="0" y="0"/>
                      <a:ext cx="4976813" cy="1985940"/>
                    </a:xfrm>
                    <a:prstGeom prst="rect"/>
                    <a:ln/>
                  </pic:spPr>
                </pic:pic>
              </a:graphicData>
            </a:graphic>
          </wp:inline>
        </w:drawing>
      </w:r>
      <w:r w:rsidDel="00000000" w:rsidR="00000000" w:rsidRPr="00000000">
        <w:rPr>
          <w:rtl w:val="0"/>
        </w:rPr>
      </w:r>
    </w:p>
    <w:p w:rsidR="00000000" w:rsidDel="00000000" w:rsidP="00000000" w:rsidRDefault="00000000" w:rsidRPr="00000000" w14:paraId="0000003D">
      <w:pPr>
        <w:spacing w:after="240" w:before="240" w:lineRule="auto"/>
        <w:rPr/>
      </w:pPr>
      <w:r w:rsidDel="00000000" w:rsidR="00000000" w:rsidRPr="00000000">
        <w:rPr>
          <w:rFonts w:ascii="Times New Roman" w:cs="Times New Roman" w:eastAsia="Times New Roman" w:hAnsi="Times New Roman"/>
          <w:b w:val="1"/>
          <w:sz w:val="18"/>
          <w:szCs w:val="18"/>
          <w:rtl w:val="0"/>
        </w:rPr>
        <w:t xml:space="preserve">Figure S6.</w:t>
      </w:r>
      <w:r w:rsidDel="00000000" w:rsidR="00000000" w:rsidRPr="00000000">
        <w:rPr>
          <w:rFonts w:ascii="Times New Roman" w:cs="Times New Roman" w:eastAsia="Times New Roman" w:hAnsi="Times New Roman"/>
          <w:sz w:val="18"/>
          <w:szCs w:val="18"/>
          <w:rtl w:val="0"/>
        </w:rPr>
        <w:t xml:space="preserve"> </w:t>
      </w:r>
      <w:r w:rsidDel="00000000" w:rsidR="00000000" w:rsidRPr="00000000">
        <w:rPr>
          <w:rFonts w:ascii="Times New Roman" w:cs="Times New Roman" w:eastAsia="Times New Roman" w:hAnsi="Times New Roman"/>
          <w:i w:val="1"/>
          <w:sz w:val="18"/>
          <w:szCs w:val="18"/>
          <w:rtl w:val="0"/>
        </w:rPr>
        <w:t xml:space="preserve">T-Statistics by Race Combination and RUCA Category with Significance Threshold.</w:t>
      </w:r>
      <w:r w:rsidDel="00000000" w:rsidR="00000000" w:rsidRPr="00000000">
        <w:rPr>
          <w:rFonts w:ascii="Times New Roman" w:cs="Times New Roman" w:eastAsia="Times New Roman" w:hAnsi="Times New Roman"/>
          <w:sz w:val="18"/>
          <w:szCs w:val="18"/>
          <w:rtl w:val="0"/>
        </w:rPr>
        <w:t xml:space="preserve"> This bar chart presents the T-statistics for comparisons of clinical study accessibility across various racial combinations and RUCA categories (Metropolitan, Micropolitan, Rural, and Small Town). Each bar color represents a specific RUCA category. The red dashed line marks the significance threshold (T-critical = ±1.96, α = 0.05), with values above or below this line indicating statistically significant differences in accessibility between racial groups. The chart shows substantial variability in T-statistics across combinations, with notable disparities in both metropolitan and rural areas, underscoring the role of both race and geography in clinical study accessibility.</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image" Target="media/image5.png"/><Relationship Id="rId10" Type="http://schemas.openxmlformats.org/officeDocument/2006/relationships/image" Target="media/image2.png"/><Relationship Id="rId9" Type="http://schemas.openxmlformats.org/officeDocument/2006/relationships/image" Target="media/image1.png"/><Relationship Id="rId5" Type="http://schemas.openxmlformats.org/officeDocument/2006/relationships/styles" Target="styles.xml"/><Relationship Id="rId6" Type="http://schemas.openxmlformats.org/officeDocument/2006/relationships/image" Target="media/image3.png"/><Relationship Id="rId7" Type="http://schemas.openxmlformats.org/officeDocument/2006/relationships/image" Target="media/image4.png"/><Relationship Id="rId8"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