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04FB" w14:textId="77777777" w:rsidR="00CF0B41" w:rsidRDefault="00CF0B41" w:rsidP="00CF0B41">
      <w:pPr>
        <w:widowControl w:val="0"/>
        <w:pBdr>
          <w:top w:val="nil"/>
          <w:left w:val="nil"/>
          <w:bottom w:val="nil"/>
          <w:right w:val="nil"/>
          <w:between w:val="nil"/>
        </w:pBdr>
        <w:spacing w:line="276" w:lineRule="auto"/>
      </w:pPr>
    </w:p>
    <w:p w14:paraId="13B7B467" w14:textId="77777777" w:rsidR="00CF0B41" w:rsidRDefault="00CF0B41" w:rsidP="00CF0B41">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5200" w:type="dxa"/>
        <w:tblInd w:w="-115" w:type="dxa"/>
        <w:tblBorders>
          <w:top w:val="nil"/>
          <w:left w:val="nil"/>
          <w:bottom w:val="nil"/>
          <w:right w:val="nil"/>
        </w:tblBorders>
        <w:tblLayout w:type="fixed"/>
        <w:tblLook w:val="0000" w:firstRow="0" w:lastRow="0" w:firstColumn="0" w:lastColumn="0" w:noHBand="0" w:noVBand="0"/>
      </w:tblPr>
      <w:tblGrid>
        <w:gridCol w:w="1668"/>
        <w:gridCol w:w="587"/>
        <w:gridCol w:w="11745"/>
        <w:gridCol w:w="1200"/>
      </w:tblGrid>
      <w:tr w:rsidR="00CF0B41" w14:paraId="025A81E5" w14:textId="77777777" w:rsidTr="00C1274C">
        <w:trPr>
          <w:trHeight w:val="65"/>
          <w:tblHeader/>
        </w:trPr>
        <w:tc>
          <w:tcPr>
            <w:tcW w:w="1668"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09909523" w14:textId="77777777" w:rsidR="00CF0B41" w:rsidRDefault="00CF0B41" w:rsidP="00C1274C">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587"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0AB603CC" w14:textId="77777777" w:rsidR="00CF0B41" w:rsidRDefault="00CF0B41" w:rsidP="00C1274C">
            <w:pPr>
              <w:widowControl w:val="0"/>
              <w:pBdr>
                <w:top w:val="nil"/>
                <w:left w:val="nil"/>
                <w:bottom w:val="nil"/>
                <w:right w:val="nil"/>
                <w:between w:val="nil"/>
              </w:pBdr>
              <w:rPr>
                <w:rFonts w:ascii="Arial" w:eastAsia="Arial" w:hAnsi="Arial" w:cs="Arial"/>
                <w:b/>
                <w:color w:val="FFFFFF"/>
                <w:sz w:val="18"/>
                <w:szCs w:val="18"/>
              </w:rPr>
            </w:pPr>
            <w:r>
              <w:rPr>
                <w:rFonts w:ascii="Arial" w:eastAsia="Arial" w:hAnsi="Arial" w:cs="Arial"/>
                <w:b/>
                <w:color w:val="FFFFFF"/>
                <w:sz w:val="18"/>
                <w:szCs w:val="18"/>
              </w:rPr>
              <w:t>Item #</w:t>
            </w:r>
          </w:p>
        </w:tc>
        <w:tc>
          <w:tcPr>
            <w:tcW w:w="11745"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03BC5B0E" w14:textId="77777777" w:rsidR="00CF0B41" w:rsidRDefault="00CF0B41" w:rsidP="00C1274C">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120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6BFDCAD0" w14:textId="77777777" w:rsidR="00CF0B41" w:rsidRDefault="00CF0B41" w:rsidP="00C1274C">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Location where item is reported </w:t>
            </w:r>
          </w:p>
        </w:tc>
      </w:tr>
      <w:tr w:rsidR="00CF0B41" w14:paraId="03E92E22"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535CE7C"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TITLE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5C3F4FE7" w14:textId="77777777" w:rsidR="00CF0B41" w:rsidRDefault="00CF0B41" w:rsidP="00C1274C">
            <w:pPr>
              <w:widowControl w:val="0"/>
              <w:pBdr>
                <w:top w:val="nil"/>
                <w:left w:val="nil"/>
                <w:bottom w:val="nil"/>
                <w:right w:val="nil"/>
                <w:between w:val="nil"/>
              </w:pBdr>
              <w:jc w:val="right"/>
              <w:rPr>
                <w:rFonts w:ascii="Arial" w:eastAsia="Arial" w:hAnsi="Arial" w:cs="Arial"/>
                <w:color w:val="000000"/>
                <w:sz w:val="18"/>
                <w:szCs w:val="18"/>
              </w:rPr>
            </w:pPr>
          </w:p>
        </w:tc>
      </w:tr>
      <w:tr w:rsidR="00CF0B41" w14:paraId="4374C565" w14:textId="77777777" w:rsidTr="00C1274C">
        <w:trPr>
          <w:trHeight w:val="48"/>
        </w:trPr>
        <w:tc>
          <w:tcPr>
            <w:tcW w:w="1668" w:type="dxa"/>
            <w:tcBorders>
              <w:top w:val="single" w:sz="5" w:space="0" w:color="000000"/>
              <w:left w:val="single" w:sz="5" w:space="0" w:color="000000"/>
              <w:bottom w:val="single" w:sz="4" w:space="0" w:color="FFFFCC"/>
              <w:right w:val="single" w:sz="5" w:space="0" w:color="000000"/>
            </w:tcBorders>
          </w:tcPr>
          <w:p w14:paraId="239B8055"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Title </w:t>
            </w:r>
          </w:p>
        </w:tc>
        <w:tc>
          <w:tcPr>
            <w:tcW w:w="587" w:type="dxa"/>
            <w:tcBorders>
              <w:top w:val="single" w:sz="5" w:space="0" w:color="000000"/>
              <w:left w:val="single" w:sz="5" w:space="0" w:color="000000"/>
              <w:bottom w:val="single" w:sz="4" w:space="0" w:color="FFFFCC"/>
              <w:right w:val="single" w:sz="5" w:space="0" w:color="000000"/>
            </w:tcBorders>
          </w:tcPr>
          <w:p w14:paraId="1F96F647"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7D72BA8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sidRPr="001D06EB">
              <w:rPr>
                <w:rFonts w:ascii="Arial" w:eastAsia="Arial" w:hAnsi="Arial" w:cs="Arial"/>
                <w:sz w:val="18"/>
                <w:szCs w:val="18"/>
              </w:rPr>
              <w:t>Strategies for Improving Childhood Routine Immunization Coverage: A Global Systematic Review &amp; Meta-Analyses</w:t>
            </w:r>
          </w:p>
        </w:tc>
        <w:tc>
          <w:tcPr>
            <w:tcW w:w="1200" w:type="dxa"/>
            <w:tcBorders>
              <w:top w:val="single" w:sz="5" w:space="0" w:color="000000"/>
              <w:left w:val="single" w:sz="5" w:space="0" w:color="000000"/>
              <w:bottom w:val="single" w:sz="5" w:space="0" w:color="000000"/>
              <w:right w:val="single" w:sz="5" w:space="0" w:color="000000"/>
            </w:tcBorders>
          </w:tcPr>
          <w:p w14:paraId="356A20B0"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w:t>
            </w:r>
          </w:p>
        </w:tc>
      </w:tr>
      <w:tr w:rsidR="00CF0B41" w14:paraId="4388BD69"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1C59C24"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ABSTRACT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4503F2DC" w14:textId="77777777" w:rsidR="00CF0B41" w:rsidRDefault="00CF0B41" w:rsidP="00C1274C">
            <w:pPr>
              <w:widowControl w:val="0"/>
              <w:pBdr>
                <w:top w:val="nil"/>
                <w:left w:val="nil"/>
                <w:bottom w:val="nil"/>
                <w:right w:val="nil"/>
                <w:between w:val="nil"/>
              </w:pBdr>
              <w:jc w:val="right"/>
              <w:rPr>
                <w:rFonts w:ascii="Arial" w:eastAsia="Arial" w:hAnsi="Arial" w:cs="Arial"/>
                <w:color w:val="000000"/>
                <w:sz w:val="18"/>
                <w:szCs w:val="18"/>
              </w:rPr>
            </w:pPr>
          </w:p>
        </w:tc>
      </w:tr>
      <w:tr w:rsidR="00CF0B41" w14:paraId="156F265E" w14:textId="77777777" w:rsidTr="00C1274C">
        <w:trPr>
          <w:trHeight w:val="48"/>
        </w:trPr>
        <w:tc>
          <w:tcPr>
            <w:tcW w:w="1668" w:type="dxa"/>
            <w:tcBorders>
              <w:top w:val="single" w:sz="5" w:space="0" w:color="000000"/>
              <w:left w:val="single" w:sz="5" w:space="0" w:color="000000"/>
              <w:bottom w:val="single" w:sz="4" w:space="0" w:color="FFFFCC"/>
              <w:right w:val="single" w:sz="5" w:space="0" w:color="000000"/>
            </w:tcBorders>
          </w:tcPr>
          <w:p w14:paraId="6FD736A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Abstract </w:t>
            </w:r>
          </w:p>
        </w:tc>
        <w:tc>
          <w:tcPr>
            <w:tcW w:w="587" w:type="dxa"/>
            <w:tcBorders>
              <w:top w:val="single" w:sz="5" w:space="0" w:color="000000"/>
              <w:left w:val="single" w:sz="5" w:space="0" w:color="000000"/>
              <w:bottom w:val="single" w:sz="4" w:space="0" w:color="FFFFCC"/>
              <w:right w:val="single" w:sz="5" w:space="0" w:color="000000"/>
            </w:tcBorders>
          </w:tcPr>
          <w:p w14:paraId="2E590993"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28D122F2" w14:textId="77777777" w:rsidR="00CF0B41" w:rsidRPr="00B1569D" w:rsidRDefault="00CF0B41" w:rsidP="00C1274C">
            <w:pPr>
              <w:widowControl w:val="0"/>
              <w:pBdr>
                <w:top w:val="nil"/>
                <w:left w:val="nil"/>
                <w:bottom w:val="nil"/>
                <w:right w:val="nil"/>
                <w:between w:val="nil"/>
              </w:pBdr>
              <w:spacing w:before="40" w:after="40"/>
              <w:rPr>
                <w:rFonts w:ascii="Arial" w:eastAsia="Arial" w:hAnsi="Arial" w:cs="Arial"/>
                <w:bCs/>
                <w:color w:val="000000"/>
                <w:sz w:val="18"/>
                <w:szCs w:val="18"/>
              </w:rPr>
            </w:pPr>
            <w:r w:rsidRPr="00FA0D12">
              <w:rPr>
                <w:rFonts w:ascii="Arial" w:eastAsia="Arial" w:hAnsi="Arial" w:cs="Arial"/>
                <w:bCs/>
                <w:color w:val="000000"/>
                <w:sz w:val="18"/>
                <w:szCs w:val="18"/>
              </w:rPr>
              <w:t>Childhood vaccination is one of the most effective public health interventions, yet in 2024, an estimated 14.3 million children under five remained unvaccinated. Identifying strategies that can close this coverage gap is critical to reducing the burden of vaccine-preventable diseases. This systematic review synthesized global evidence on strategies to improve childhood routine immunization coverage. We searched MEDLINE, EMBASE, PsycINFO, and CINAHL, complemented by citation searches, for randomized controlled trials, cluster randomized trials, and controlled before–after studies. Following screening of 3,251 citations, 35 studies were included. Data were extracted, risk of bias was assessed, and strategies were evaluated through meta-analysis and narrative synthesis. Twenty-eight distinct strategies were identified. Most interventions improved coverage compared to usual care, though effectiveness varied by setting, population, and vaccine type. SMS reminders consistently improved uptake of multi-dose vaccines in low-income contexts, while home-based outreach was more effective in urban settings. Multi-component approaches such as mobile clinics combined with incentives, or telephone plus mail reminders, showed the strongest effects. In contrast, SMS reminders with monetary incentives, immunization bracelets, and provider-focused training apps produced negligible impact. One strategy involving training community leaders alongside health workers was associated with reduced coverage. Our findings highlight that while most strategies offer incremental benefits, their effectiveness is context-dependent. Scaling approaches that demonstrate consistent gains, while phasing out ineffective or harmful ones, will be essential to advancing the World Health Organization’s Immunization Agenda 2030. Tailoring strategies to local systems, populations, and delivery challenges remains vital for equitable progress in childhood immunization.</w:t>
            </w:r>
          </w:p>
        </w:tc>
        <w:tc>
          <w:tcPr>
            <w:tcW w:w="1200" w:type="dxa"/>
            <w:tcBorders>
              <w:top w:val="single" w:sz="5" w:space="0" w:color="000000"/>
              <w:left w:val="single" w:sz="5" w:space="0" w:color="000000"/>
              <w:bottom w:val="single" w:sz="5" w:space="0" w:color="000000"/>
              <w:right w:val="single" w:sz="5" w:space="0" w:color="000000"/>
            </w:tcBorders>
          </w:tcPr>
          <w:p w14:paraId="7A366FE2"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2</w:t>
            </w:r>
          </w:p>
        </w:tc>
      </w:tr>
      <w:tr w:rsidR="00CF0B41" w14:paraId="77E8CE68"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41FA1F6"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INTRODUCTION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2C9554F4" w14:textId="77777777" w:rsidR="00CF0B41" w:rsidRDefault="00CF0B41" w:rsidP="00C1274C">
            <w:pPr>
              <w:widowControl w:val="0"/>
              <w:pBdr>
                <w:top w:val="nil"/>
                <w:left w:val="nil"/>
                <w:bottom w:val="nil"/>
                <w:right w:val="nil"/>
                <w:between w:val="nil"/>
              </w:pBdr>
              <w:jc w:val="right"/>
              <w:rPr>
                <w:rFonts w:ascii="Arial" w:eastAsia="Arial" w:hAnsi="Arial" w:cs="Arial"/>
                <w:color w:val="000000"/>
                <w:sz w:val="18"/>
                <w:szCs w:val="18"/>
              </w:rPr>
            </w:pPr>
          </w:p>
        </w:tc>
      </w:tr>
      <w:tr w:rsidR="00CF0B41" w14:paraId="305D628A"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39436DB5"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AD49164"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7DAA4F5" w14:textId="77777777" w:rsidR="00CF0B41" w:rsidRPr="0005426F"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05426F">
              <w:rPr>
                <w:rFonts w:ascii="Arial" w:eastAsia="Arial" w:hAnsi="Arial" w:cs="Arial"/>
                <w:sz w:val="18"/>
                <w:szCs w:val="18"/>
              </w:rPr>
              <w:t xml:space="preserve">The existing literature on effective strategies for improving childhood vaccination coverage offers diverse perspectives, including country, regional, and intervention-specific insights. Reports from organizations like UNICEF and WHO provided overarching strategies but did not report a systematic approach to evidence review (11,12). Country or region-specific sources, such as those from Public Health Ontario and systematic reviews focused on areas like Australia and low- and middle-income countries, offered valuable context-specific insights but did not provide a comprehensive understanding of strategies beyond their geographical focus (13–15). Similarly, intervention-specific sources, including systematic reviews of hospital-based strategies and reminder systems, may not account for all potentially effective strategies (16,17). Additionally, some studies the exclude key populations of interest, such as children under five years old, and focus on outcomes other than vaccine coverage, such as cost-effectiveness (18,19). </w:t>
            </w:r>
          </w:p>
          <w:p w14:paraId="19F7401F" w14:textId="77777777" w:rsidR="00CF0B41" w:rsidRPr="0005426F"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05426F">
              <w:rPr>
                <w:rFonts w:ascii="Arial" w:eastAsia="Arial" w:hAnsi="Arial" w:cs="Arial"/>
                <w:sz w:val="18"/>
                <w:szCs w:val="18"/>
              </w:rPr>
              <w:t xml:space="preserve">Given the current body of evidence, a synthesis of vaccination strategies across diverse contexts remains necessary. This systematic review seeks to fill that gap by providing an overview of strategies employed across various settings, populations, and interventions. </w:t>
            </w:r>
          </w:p>
        </w:tc>
        <w:tc>
          <w:tcPr>
            <w:tcW w:w="1200" w:type="dxa"/>
            <w:tcBorders>
              <w:top w:val="single" w:sz="5" w:space="0" w:color="000000"/>
              <w:left w:val="single" w:sz="5" w:space="0" w:color="000000"/>
              <w:bottom w:val="single" w:sz="5" w:space="0" w:color="000000"/>
              <w:right w:val="single" w:sz="5" w:space="0" w:color="000000"/>
            </w:tcBorders>
          </w:tcPr>
          <w:p w14:paraId="3D639524"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4-5</w:t>
            </w:r>
          </w:p>
        </w:tc>
      </w:tr>
      <w:tr w:rsidR="00CF0B41" w14:paraId="78F65B28" w14:textId="77777777" w:rsidTr="00C1274C">
        <w:trPr>
          <w:trHeight w:val="48"/>
        </w:trPr>
        <w:tc>
          <w:tcPr>
            <w:tcW w:w="1668" w:type="dxa"/>
            <w:tcBorders>
              <w:top w:val="single" w:sz="5" w:space="0" w:color="000000"/>
              <w:left w:val="single" w:sz="5" w:space="0" w:color="000000"/>
              <w:bottom w:val="single" w:sz="4" w:space="0" w:color="FFFFCC"/>
              <w:right w:val="single" w:sz="5" w:space="0" w:color="000000"/>
            </w:tcBorders>
          </w:tcPr>
          <w:p w14:paraId="099A2785"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Objectives </w:t>
            </w:r>
          </w:p>
        </w:tc>
        <w:tc>
          <w:tcPr>
            <w:tcW w:w="587" w:type="dxa"/>
            <w:tcBorders>
              <w:top w:val="single" w:sz="5" w:space="0" w:color="000000"/>
              <w:left w:val="single" w:sz="5" w:space="0" w:color="000000"/>
              <w:bottom w:val="single" w:sz="4" w:space="0" w:color="FFFFCC"/>
              <w:right w:val="single" w:sz="5" w:space="0" w:color="000000"/>
            </w:tcBorders>
          </w:tcPr>
          <w:p w14:paraId="79EAD58E"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4</w:t>
            </w:r>
          </w:p>
        </w:tc>
        <w:tc>
          <w:tcPr>
            <w:tcW w:w="11745" w:type="dxa"/>
            <w:tcBorders>
              <w:top w:val="single" w:sz="5" w:space="0" w:color="000000"/>
              <w:left w:val="single" w:sz="5" w:space="0" w:color="000000"/>
              <w:bottom w:val="single" w:sz="5" w:space="0" w:color="000000"/>
              <w:right w:val="single" w:sz="5" w:space="0" w:color="000000"/>
            </w:tcBorders>
          </w:tcPr>
          <w:p w14:paraId="410FAA4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The research question guiding this review is: What strategies have demonstrated to be effective or ineffective in increasing childhood routine immunization coverage for children under the age of five years?</w:t>
            </w:r>
          </w:p>
        </w:tc>
        <w:tc>
          <w:tcPr>
            <w:tcW w:w="1200" w:type="dxa"/>
            <w:tcBorders>
              <w:top w:val="single" w:sz="5" w:space="0" w:color="000000"/>
              <w:left w:val="single" w:sz="5" w:space="0" w:color="000000"/>
              <w:bottom w:val="single" w:sz="5" w:space="0" w:color="000000"/>
              <w:right w:val="single" w:sz="5" w:space="0" w:color="000000"/>
            </w:tcBorders>
          </w:tcPr>
          <w:p w14:paraId="11049C8C"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5-6</w:t>
            </w:r>
          </w:p>
        </w:tc>
      </w:tr>
      <w:tr w:rsidR="00CF0B41" w14:paraId="4ABC8161"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1E14057E"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METHODS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01238546" w14:textId="77777777" w:rsidR="00CF0B41" w:rsidRDefault="00CF0B41" w:rsidP="00C1274C">
            <w:pPr>
              <w:widowControl w:val="0"/>
              <w:pBdr>
                <w:top w:val="nil"/>
                <w:left w:val="nil"/>
                <w:bottom w:val="nil"/>
                <w:right w:val="nil"/>
                <w:between w:val="nil"/>
              </w:pBdr>
              <w:jc w:val="right"/>
              <w:rPr>
                <w:rFonts w:ascii="Arial" w:eastAsia="Arial" w:hAnsi="Arial" w:cs="Arial"/>
                <w:color w:val="000000"/>
                <w:sz w:val="18"/>
                <w:szCs w:val="18"/>
              </w:rPr>
            </w:pPr>
          </w:p>
        </w:tc>
      </w:tr>
      <w:tr w:rsidR="00CF0B41" w14:paraId="2EC6B38A"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3CBC53DC"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FE9FA43"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E329FEC" w14:textId="77777777" w:rsidR="00CF0B41" w:rsidRPr="00734626" w:rsidRDefault="00CF0B41" w:rsidP="00C1274C">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Refer to </w:t>
            </w:r>
            <w:r w:rsidRPr="00734626">
              <w:rPr>
                <w:rFonts w:ascii="Arial" w:eastAsia="Arial" w:hAnsi="Arial" w:cs="Arial"/>
                <w:sz w:val="18"/>
                <w:szCs w:val="18"/>
              </w:rPr>
              <w:t>Table 1. Summary of inclusion and exclusion criteria</w:t>
            </w:r>
            <w:r>
              <w:rPr>
                <w:rFonts w:ascii="Arial" w:eastAsia="Arial" w:hAnsi="Arial" w:cs="Arial"/>
                <w:sz w:val="18"/>
                <w:szCs w:val="18"/>
              </w:rPr>
              <w:t xml:space="preserve"> on page 5-7</w:t>
            </w:r>
          </w:p>
        </w:tc>
        <w:tc>
          <w:tcPr>
            <w:tcW w:w="1200" w:type="dxa"/>
            <w:tcBorders>
              <w:top w:val="single" w:sz="5" w:space="0" w:color="000000"/>
              <w:left w:val="single" w:sz="5" w:space="0" w:color="000000"/>
              <w:bottom w:val="single" w:sz="5" w:space="0" w:color="000000"/>
              <w:right w:val="single" w:sz="5" w:space="0" w:color="000000"/>
            </w:tcBorders>
          </w:tcPr>
          <w:p w14:paraId="272E1AC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7-9, Table 1</w:t>
            </w:r>
          </w:p>
        </w:tc>
      </w:tr>
      <w:tr w:rsidR="00CF0B41" w14:paraId="3287F5ED" w14:textId="77777777" w:rsidTr="00C1274C">
        <w:trPr>
          <w:trHeight w:val="191"/>
        </w:trPr>
        <w:tc>
          <w:tcPr>
            <w:tcW w:w="1668" w:type="dxa"/>
            <w:tcBorders>
              <w:top w:val="single" w:sz="5" w:space="0" w:color="000000"/>
              <w:left w:val="single" w:sz="5" w:space="0" w:color="000000"/>
              <w:bottom w:val="single" w:sz="5" w:space="0" w:color="000000"/>
              <w:right w:val="single" w:sz="5" w:space="0" w:color="000000"/>
            </w:tcBorders>
          </w:tcPr>
          <w:p w14:paraId="17E28E2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974198D"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6051695" w14:textId="77777777" w:rsidR="00CF0B41" w:rsidRPr="005343B9"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184E21">
              <w:rPr>
                <w:rFonts w:ascii="Arial" w:eastAsia="Arial" w:hAnsi="Arial" w:cs="Arial"/>
                <w:sz w:val="18"/>
                <w:szCs w:val="18"/>
              </w:rPr>
              <w:t>An electronic search was conducted in MEDLINE (Ovid), EMBASE (Ovid), PsycINFO (Ovid), and CINAHL (EBSCOhost) according to a search strategy developed by the first author and an academic librarian. The searches were completed on March 26, 2024. The full search strategy can be found in S2 Table. In addition to database searches, relevant sources were identified by employing a backward and forward citation search of studies included after full-text screening. The citation searches were completed on June 10, 2024, using Google Scholar.</w:t>
            </w:r>
          </w:p>
        </w:tc>
        <w:tc>
          <w:tcPr>
            <w:tcW w:w="1200" w:type="dxa"/>
            <w:tcBorders>
              <w:top w:val="single" w:sz="5" w:space="0" w:color="000000"/>
              <w:left w:val="single" w:sz="5" w:space="0" w:color="000000"/>
              <w:bottom w:val="single" w:sz="5" w:space="0" w:color="000000"/>
              <w:right w:val="single" w:sz="5" w:space="0" w:color="000000"/>
            </w:tcBorders>
          </w:tcPr>
          <w:p w14:paraId="2C401C3C"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w:t>
            </w:r>
          </w:p>
        </w:tc>
      </w:tr>
      <w:tr w:rsidR="00CF0B41" w14:paraId="22A612E7"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24F24D8E"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E960CDC"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D7850AD"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The full search strategy for all four databases is found in Supplemental Table 2: Search Strategy</w:t>
            </w:r>
          </w:p>
        </w:tc>
        <w:tc>
          <w:tcPr>
            <w:tcW w:w="1200" w:type="dxa"/>
            <w:tcBorders>
              <w:top w:val="single" w:sz="5" w:space="0" w:color="000000"/>
              <w:left w:val="single" w:sz="5" w:space="0" w:color="000000"/>
              <w:bottom w:val="single" w:sz="5" w:space="0" w:color="000000"/>
              <w:right w:val="single" w:sz="5" w:space="0" w:color="000000"/>
            </w:tcBorders>
          </w:tcPr>
          <w:p w14:paraId="6BBBE752"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S2 Table</w:t>
            </w:r>
          </w:p>
        </w:tc>
      </w:tr>
      <w:tr w:rsidR="00CF0B41" w14:paraId="5508A1B9"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582FE0C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FCF7A0D"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58A284E" w14:textId="77777777" w:rsidR="00CF0B41" w:rsidRPr="003638A7"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3638A7">
              <w:rPr>
                <w:rFonts w:ascii="Arial" w:eastAsia="Arial" w:hAnsi="Arial" w:cs="Arial"/>
                <w:sz w:val="18"/>
                <w:szCs w:val="18"/>
              </w:rPr>
              <w:t xml:space="preserve">All identified sources were collated and uploaded into Covidence, with duplicates removed. Two reviewers (MM and AF) underwent a pilot test, in which 10 studies were purposely selected to represent a range of difficulty levels and screened independently to test the clarity and comprehensiveness of the eligibility criteria. Once the pilot test was complete, the two reviewers met to discuss and resolve any conflicts. </w:t>
            </w:r>
            <w:r w:rsidRPr="003638A7">
              <w:rPr>
                <w:rFonts w:ascii="Arial" w:eastAsia="Arial" w:hAnsi="Arial" w:cs="Arial"/>
                <w:sz w:val="18"/>
                <w:szCs w:val="18"/>
              </w:rPr>
              <w:lastRenderedPageBreak/>
              <w:t>Following the pilot test, titles and abstracts were screened independently by the two reviewers, followed by independent full-text screening of included articles. Reasons for exclusion were recorded. Any disagreements that arose between the reviewers at each stage of the selection process were resolved through discussion. The results of the search and the study inclusion process were presented in the Preferred Reporting Items for Systematic Reviews and Meta-analyses (PRISMA) flow diagram (25).</w:t>
            </w:r>
          </w:p>
        </w:tc>
        <w:tc>
          <w:tcPr>
            <w:tcW w:w="1200" w:type="dxa"/>
            <w:tcBorders>
              <w:top w:val="single" w:sz="5" w:space="0" w:color="000000"/>
              <w:left w:val="single" w:sz="5" w:space="0" w:color="000000"/>
              <w:bottom w:val="single" w:sz="5" w:space="0" w:color="000000"/>
              <w:right w:val="single" w:sz="5" w:space="0" w:color="000000"/>
            </w:tcBorders>
          </w:tcPr>
          <w:p w14:paraId="7038FB2B"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lastRenderedPageBreak/>
              <w:t>9, Fig 1</w:t>
            </w:r>
          </w:p>
        </w:tc>
      </w:tr>
      <w:tr w:rsidR="00CF0B41" w14:paraId="3A49C697" w14:textId="77777777" w:rsidTr="00C1274C">
        <w:trPr>
          <w:trHeight w:val="152"/>
        </w:trPr>
        <w:tc>
          <w:tcPr>
            <w:tcW w:w="1668" w:type="dxa"/>
            <w:tcBorders>
              <w:top w:val="single" w:sz="5" w:space="0" w:color="000000"/>
              <w:left w:val="single" w:sz="5" w:space="0" w:color="000000"/>
              <w:bottom w:val="single" w:sz="5" w:space="0" w:color="000000"/>
              <w:right w:val="single" w:sz="5" w:space="0" w:color="000000"/>
            </w:tcBorders>
          </w:tcPr>
          <w:p w14:paraId="47310ED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013701A"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44C0640C" w14:textId="77777777" w:rsidR="00CF0B41" w:rsidRPr="009E4FE2"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830F39">
              <w:rPr>
                <w:rFonts w:ascii="Arial" w:eastAsia="Arial" w:hAnsi="Arial" w:cs="Arial"/>
                <w:sz w:val="18"/>
                <w:szCs w:val="18"/>
              </w:rPr>
              <w:t xml:space="preserve">The extracted data encompassed characteristics of the included studies, including study authors, year of publication, study design, country, study setting context, study participants, and pediatric population. In addition, details about the strategy, intervention and control groups, vaccination coverage, estimate of effects, and main conclusions about the estimate of effect, were extracted from each article. To facilitate an analysis of the impact of strategies on different subgroups, we also extracted further details about settings (e.g., rural, urban, conflict-affected) and pediatric populations (e.g., groups with pre-existing health conditions). Before undertaking full data extraction, two reviewers (MM and AF) performed a pilot extraction for two studies to assess the comprehensiveness of the extraction table and the consistency between the reviewers. The two reviewers were responsible for independently extracting data and recording details using Microsoft Word. The use of Word facilitated convention for the reviewers to input multiple datasets where available (e.g., multiple arms, multiple vaccines, multiple measures of outcome). Disagreements were resolved through discussion. </w:t>
            </w:r>
          </w:p>
        </w:tc>
        <w:tc>
          <w:tcPr>
            <w:tcW w:w="1200" w:type="dxa"/>
            <w:tcBorders>
              <w:top w:val="single" w:sz="5" w:space="0" w:color="000000"/>
              <w:left w:val="single" w:sz="5" w:space="0" w:color="000000"/>
              <w:bottom w:val="single" w:sz="5" w:space="0" w:color="000000"/>
              <w:right w:val="single" w:sz="5" w:space="0" w:color="000000"/>
            </w:tcBorders>
          </w:tcPr>
          <w:p w14:paraId="23CAE898"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9-10</w:t>
            </w:r>
          </w:p>
        </w:tc>
      </w:tr>
      <w:tr w:rsidR="00CF0B41" w14:paraId="3A6182EE" w14:textId="77777777" w:rsidTr="00C1274C">
        <w:trPr>
          <w:trHeight w:val="48"/>
        </w:trPr>
        <w:tc>
          <w:tcPr>
            <w:tcW w:w="1668" w:type="dxa"/>
            <w:vMerge w:val="restart"/>
            <w:tcBorders>
              <w:top w:val="single" w:sz="5" w:space="0" w:color="000000"/>
              <w:left w:val="single" w:sz="5" w:space="0" w:color="000000"/>
              <w:right w:val="single" w:sz="5" w:space="0" w:color="000000"/>
            </w:tcBorders>
            <w:shd w:val="clear" w:color="auto" w:fill="FFFFFF" w:themeFill="background1"/>
          </w:tcPr>
          <w:p w14:paraId="3B54719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19756F3"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5EF63A0" w14:textId="77777777" w:rsidR="00CF0B41" w:rsidRDefault="00CF0B41" w:rsidP="00C1274C">
            <w:pPr>
              <w:widowControl w:val="0"/>
              <w:spacing w:before="40" w:after="40"/>
              <w:rPr>
                <w:rFonts w:ascii="Arial" w:eastAsia="Arial" w:hAnsi="Arial" w:cs="Arial"/>
                <w:color w:val="000000"/>
                <w:sz w:val="18"/>
                <w:szCs w:val="18"/>
              </w:rPr>
            </w:pPr>
            <w:r>
              <w:rPr>
                <w:rFonts w:ascii="Arial" w:eastAsia="Arial" w:hAnsi="Arial" w:cs="Arial"/>
                <w:sz w:val="18"/>
                <w:szCs w:val="18"/>
              </w:rPr>
              <w:t>The outcome of interest (vaccination coverage) and its estimate of effects/raw data were extracted from each article. To facilitate analyses and comparison within and across studies, risk ratios and their confidence intervals were calculated for each vaccine outcomes.</w:t>
            </w:r>
          </w:p>
        </w:tc>
        <w:tc>
          <w:tcPr>
            <w:tcW w:w="1200" w:type="dxa"/>
            <w:tcBorders>
              <w:top w:val="single" w:sz="5" w:space="0" w:color="000000"/>
              <w:left w:val="single" w:sz="5" w:space="0" w:color="000000"/>
              <w:bottom w:val="single" w:sz="5" w:space="0" w:color="000000"/>
              <w:right w:val="single" w:sz="5" w:space="0" w:color="000000"/>
            </w:tcBorders>
          </w:tcPr>
          <w:p w14:paraId="1BCD9F35"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11-13, Table 3</w:t>
            </w:r>
          </w:p>
        </w:tc>
      </w:tr>
      <w:tr w:rsidR="00CF0B41" w14:paraId="16D4100A" w14:textId="77777777" w:rsidTr="00C1274C">
        <w:trPr>
          <w:trHeight w:val="48"/>
        </w:trPr>
        <w:tc>
          <w:tcPr>
            <w:tcW w:w="1668" w:type="dxa"/>
            <w:vMerge/>
            <w:tcBorders>
              <w:top w:val="single" w:sz="5" w:space="0" w:color="000000"/>
              <w:left w:val="single" w:sz="5" w:space="0" w:color="000000"/>
              <w:right w:val="single" w:sz="5" w:space="0" w:color="000000"/>
            </w:tcBorders>
            <w:shd w:val="clear" w:color="auto" w:fill="FFFFFF" w:themeFill="background1"/>
          </w:tcPr>
          <w:p w14:paraId="49E8B3A9"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413401"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37513DC" w14:textId="77777777" w:rsidR="00CF0B41" w:rsidRDefault="00CF0B41" w:rsidP="00C1274C">
            <w:pPr>
              <w:widowControl w:val="0"/>
              <w:spacing w:before="40" w:after="40"/>
              <w:rPr>
                <w:rFonts w:ascii="Arial" w:eastAsia="Arial" w:hAnsi="Arial" w:cs="Arial"/>
                <w:sz w:val="18"/>
                <w:szCs w:val="18"/>
              </w:rPr>
            </w:pPr>
            <w:r w:rsidRPr="009D26E1">
              <w:rPr>
                <w:rFonts w:ascii="Arial" w:eastAsia="Arial" w:hAnsi="Arial" w:cs="Arial"/>
                <w:sz w:val="18"/>
                <w:szCs w:val="18"/>
              </w:rPr>
              <w:t xml:space="preserve">The extracted data encompassed characteristics of the included studies, including study authors, year of publication, study design, country, study setting context, study participants, and pediatric population. In addition, details about the strategy, intervention and control groups, vaccination coverage, estimate of effects, and main conclusions about the estimate of effect, were extracted from each article. To facilitate an analysis of the impact of strategies on different subgroups, we also extracted further details about settings (e.g., rural, urban, conflict-affected) and pediatric populations (e.g., groups with pre-existing health conditions). </w:t>
            </w:r>
          </w:p>
        </w:tc>
        <w:tc>
          <w:tcPr>
            <w:tcW w:w="1200" w:type="dxa"/>
            <w:tcBorders>
              <w:top w:val="single" w:sz="5" w:space="0" w:color="000000"/>
              <w:left w:val="single" w:sz="5" w:space="0" w:color="000000"/>
              <w:bottom w:val="single" w:sz="5" w:space="0" w:color="000000"/>
              <w:right w:val="single" w:sz="5" w:space="0" w:color="000000"/>
            </w:tcBorders>
          </w:tcPr>
          <w:p w14:paraId="3D879E6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9-10, Table 2</w:t>
            </w:r>
          </w:p>
        </w:tc>
      </w:tr>
      <w:tr w:rsidR="00CF0B41" w14:paraId="00A5D66F"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6077FB7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5F6E808"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C307903" w14:textId="77777777" w:rsidR="00CF0B41" w:rsidRPr="006E198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6E1981">
              <w:rPr>
                <w:rFonts w:ascii="Arial" w:eastAsia="Arial" w:hAnsi="Arial" w:cs="Arial"/>
                <w:sz w:val="18"/>
                <w:szCs w:val="18"/>
              </w:rPr>
              <w:t xml:space="preserve">Cochrane’s revised risk-of-bias (RoB 2) tool was used to assess RCTs, involving judgments and support for those judgments across a series of five domains of bias (RoB 2) (26). Similarly, Cochrane’s RoB 2 variant (RoB 2v) tool was used to assess the risk of bias in cluster-randomized trials. The domains for this tool are identical to RoB 2, with the addition of a sub-domain that assesses risk of bias arising from the timing of identification or recruitment of participants. Within each domain, both tools include a series of signaling questions (with response options of yes; probably yes, probably no, no, or no information). Judgments were made for each domain, and the overall bias was defined as low risk of bias, unclear risk of bias, or high risk of bias using the RoB 2 and RoB 2v algorithms. </w:t>
            </w:r>
          </w:p>
          <w:p w14:paraId="0A9F368B" w14:textId="77777777" w:rsidR="00CF0B41" w:rsidRPr="006E198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6E1981">
              <w:rPr>
                <w:rFonts w:ascii="Arial" w:eastAsia="Arial" w:hAnsi="Arial" w:cs="Arial"/>
                <w:sz w:val="18"/>
                <w:szCs w:val="18"/>
              </w:rPr>
              <w:t xml:space="preserve">For non-randomized controlled studies, Cochrane’s Risk Of Bias In Non-randomised Studies - of Interventions (ROBINS-I) was used (27). To account for issues specifically related to controlled before-after studies, a few additional considerations were made. First, we added a label to indicate the individual studies undertaking a controlled before-after study. Moreover, domains or signaling questions marked with an asterisk emphasize the main questions to consider when evaluating these kinds of study designs. ROBINS-I domains include bias due to confounding; bias due to missing data; bias due to measurement of the outcome, and bias in the classification of interventions. Each domain was judged as low, moderate, serious, or critical risk of bias. Like the RoB 2 tools, each domain comprises a series of signaling questions (with response options of yes; probably yes, probably no, no, or no information). Judgments were made for each domain and for the overall bias as low, moderate, serious, or critical risk of bias using the ROBINS-I algorithm. </w:t>
            </w:r>
          </w:p>
          <w:p w14:paraId="18FC2CCB" w14:textId="77777777" w:rsidR="00CF0B41" w:rsidRPr="006E198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6E1981">
              <w:rPr>
                <w:rFonts w:ascii="Arial" w:eastAsia="Arial" w:hAnsi="Arial" w:cs="Arial"/>
                <w:sz w:val="18"/>
                <w:szCs w:val="18"/>
              </w:rPr>
              <w:t xml:space="preserve">Before the independent assessment of the risk of bias, two studies were selected to undergo pilot testing. Two reviewers independently assessed these studies, and they reconvened to compare assessments. The reviewers continued to independently assess each study’s risk of bias assessments and then compared the tables for consensus. Any discrepancies between assessments were recorded and rationale were provided for each change in one reviewer’s assessment document. For studies that provide a protocol of their study, reference was made to the protocol to ensure any missing information in the final paper was outlined there. Justification for judgments of risk of bias are found in S3 Tables. </w:t>
            </w:r>
          </w:p>
        </w:tc>
        <w:tc>
          <w:tcPr>
            <w:tcW w:w="1200" w:type="dxa"/>
            <w:tcBorders>
              <w:top w:val="single" w:sz="5" w:space="0" w:color="000000"/>
              <w:left w:val="single" w:sz="5" w:space="0" w:color="000000"/>
              <w:bottom w:val="single" w:sz="5" w:space="0" w:color="000000"/>
              <w:right w:val="single" w:sz="5" w:space="0" w:color="000000"/>
            </w:tcBorders>
          </w:tcPr>
          <w:p w14:paraId="1D4F275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10</w:t>
            </w:r>
          </w:p>
        </w:tc>
      </w:tr>
      <w:tr w:rsidR="00CF0B41" w14:paraId="18C54D26"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752003E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8430C90"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6F45CC8C" w14:textId="77777777" w:rsidR="00CF0B41" w:rsidRPr="005425D4"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5425D4">
              <w:rPr>
                <w:rFonts w:ascii="Arial" w:eastAsia="Arial" w:hAnsi="Arial" w:cs="Arial"/>
                <w:sz w:val="18"/>
                <w:szCs w:val="18"/>
              </w:rPr>
              <w:t>The review used risk ratios to measure effects and to compare dichotomous data between the intervention and control groups. Risk ratios (RR) were the metric of choice because of their common use across studies when reporting effect size between groups, facilitating a consistent way to estimate effects across studies (28). The plan was to convert odds ratios (ORs) to risk ratios following the conversion formula found on The Comprehensive R Archive Network’s webpage (29). Two studies reported adjusted ORs and underwent conversion to RR (30,31).</w:t>
            </w:r>
          </w:p>
        </w:tc>
        <w:tc>
          <w:tcPr>
            <w:tcW w:w="1200" w:type="dxa"/>
            <w:tcBorders>
              <w:top w:val="single" w:sz="5" w:space="0" w:color="000000"/>
              <w:left w:val="single" w:sz="5" w:space="0" w:color="000000"/>
              <w:bottom w:val="single" w:sz="5" w:space="0" w:color="000000"/>
              <w:right w:val="single" w:sz="5" w:space="0" w:color="000000"/>
            </w:tcBorders>
          </w:tcPr>
          <w:p w14:paraId="63C507B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CF0B41" w14:paraId="04319314" w14:textId="77777777" w:rsidTr="00C1274C">
        <w:trPr>
          <w:trHeight w:val="48"/>
        </w:trPr>
        <w:tc>
          <w:tcPr>
            <w:tcW w:w="1668" w:type="dxa"/>
            <w:vMerge w:val="restart"/>
            <w:tcBorders>
              <w:top w:val="single" w:sz="5" w:space="0" w:color="000000"/>
              <w:left w:val="single" w:sz="5" w:space="0" w:color="000000"/>
              <w:right w:val="single" w:sz="5" w:space="0" w:color="000000"/>
            </w:tcBorders>
          </w:tcPr>
          <w:p w14:paraId="642D6C9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3DABC921"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024FBC87"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Given the broad and all-encompassing nature of the research question and results, the authors did not attempt to pre-categorize the interventions for synthesis purposes. Instead, general categories were described as an example for what was observed in previous literature:</w:t>
            </w:r>
          </w:p>
          <w:p w14:paraId="480029BC"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p>
          <w:p w14:paraId="494DEEF6"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Any strategy intended to increase vaccination coverage for children U5 years old, including Interventions (e.g., communication and outreach); Innovations (e.g., digital and logistical solutions); Policies (e.g., mandatory vaccination, funding initiatives); Incentives (e.g., cash-based); Best practices (e.g., training programs); Or a combination of these approaches. The acceptable comparators included: No intervention; Usual care; Or an intervention that has been implemented at a varying intensity.</w:t>
            </w:r>
          </w:p>
        </w:tc>
        <w:tc>
          <w:tcPr>
            <w:tcW w:w="1200" w:type="dxa"/>
            <w:tcBorders>
              <w:top w:val="single" w:sz="5" w:space="0" w:color="000000"/>
              <w:left w:val="single" w:sz="5" w:space="0" w:color="000000"/>
              <w:bottom w:val="single" w:sz="5" w:space="0" w:color="000000"/>
              <w:right w:val="single" w:sz="5" w:space="0" w:color="000000"/>
            </w:tcBorders>
          </w:tcPr>
          <w:p w14:paraId="4DD51FC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Table 2</w:t>
            </w:r>
          </w:p>
        </w:tc>
      </w:tr>
      <w:tr w:rsidR="00CF0B41" w14:paraId="11AC90AB" w14:textId="77777777" w:rsidTr="00C1274C">
        <w:trPr>
          <w:trHeight w:val="48"/>
        </w:trPr>
        <w:tc>
          <w:tcPr>
            <w:tcW w:w="1668" w:type="dxa"/>
            <w:vMerge/>
            <w:tcBorders>
              <w:top w:val="single" w:sz="5" w:space="0" w:color="000000"/>
              <w:left w:val="single" w:sz="5" w:space="0" w:color="000000"/>
              <w:right w:val="single" w:sz="5" w:space="0" w:color="000000"/>
            </w:tcBorders>
          </w:tcPr>
          <w:p w14:paraId="7CE4220E"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FB7157"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737F2FF" w14:textId="77777777" w:rsidR="00CF0B41" w:rsidRPr="00BD2F10" w:rsidRDefault="00CF0B41" w:rsidP="00C1274C">
            <w:pPr>
              <w:widowControl w:val="0"/>
              <w:spacing w:before="40" w:after="40"/>
              <w:rPr>
                <w:rFonts w:ascii="Arial" w:eastAsia="Arial" w:hAnsi="Arial" w:cs="Arial"/>
                <w:sz w:val="18"/>
                <w:szCs w:val="18"/>
              </w:rPr>
            </w:pPr>
            <w:r w:rsidRPr="00BD2F10">
              <w:rPr>
                <w:rFonts w:ascii="Arial" w:eastAsia="Arial" w:hAnsi="Arial" w:cs="Arial"/>
                <w:sz w:val="18"/>
                <w:szCs w:val="18"/>
              </w:rPr>
              <w:t>We converted odds ratios (ORs) to risk ratios following the conversion formula found on The Comprehensive R Archive Network’s webpage (29). Two studies reported adjusted ORs and underwent conversion to RR (30,31).</w:t>
            </w:r>
          </w:p>
        </w:tc>
        <w:tc>
          <w:tcPr>
            <w:tcW w:w="1200" w:type="dxa"/>
            <w:tcBorders>
              <w:top w:val="single" w:sz="5" w:space="0" w:color="000000"/>
              <w:left w:val="single" w:sz="5" w:space="0" w:color="000000"/>
              <w:bottom w:val="single" w:sz="5" w:space="0" w:color="000000"/>
              <w:right w:val="single" w:sz="5" w:space="0" w:color="000000"/>
            </w:tcBorders>
          </w:tcPr>
          <w:p w14:paraId="0871D2B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11</w:t>
            </w:r>
          </w:p>
        </w:tc>
      </w:tr>
      <w:tr w:rsidR="00CF0B41" w14:paraId="27CF0C25" w14:textId="77777777" w:rsidTr="00C1274C">
        <w:trPr>
          <w:trHeight w:val="48"/>
        </w:trPr>
        <w:tc>
          <w:tcPr>
            <w:tcW w:w="1668" w:type="dxa"/>
            <w:vMerge/>
            <w:tcBorders>
              <w:top w:val="single" w:sz="5" w:space="0" w:color="000000"/>
              <w:left w:val="single" w:sz="5" w:space="0" w:color="000000"/>
              <w:right w:val="single" w:sz="5" w:space="0" w:color="000000"/>
            </w:tcBorders>
          </w:tcPr>
          <w:p w14:paraId="2436A4B9"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5A1450"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DCA295D" w14:textId="77777777" w:rsidR="00CF0B41" w:rsidRPr="009825BF"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9825BF">
              <w:rPr>
                <w:rFonts w:ascii="Arial" w:eastAsia="Arial" w:hAnsi="Arial" w:cs="Arial"/>
                <w:sz w:val="18"/>
                <w:szCs w:val="18"/>
              </w:rPr>
              <w:t>For data that could not be pooled, the goal was to standardize the RR across studies eligible for grouping. To summarize the effects of these strategies, median RR and interquartile ranges were used to produce an overall summary effect. This approach aligns with the Cochrane Handbook’s recommendations on summarizing effects when pooling is not feasible (34).</w:t>
            </w:r>
          </w:p>
        </w:tc>
        <w:tc>
          <w:tcPr>
            <w:tcW w:w="1200" w:type="dxa"/>
            <w:tcBorders>
              <w:top w:val="single" w:sz="5" w:space="0" w:color="000000"/>
              <w:left w:val="single" w:sz="5" w:space="0" w:color="000000"/>
              <w:bottom w:val="single" w:sz="5" w:space="0" w:color="000000"/>
              <w:right w:val="single" w:sz="5" w:space="0" w:color="000000"/>
            </w:tcBorders>
          </w:tcPr>
          <w:p w14:paraId="6FA1A8A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12, Table 3</w:t>
            </w:r>
          </w:p>
        </w:tc>
      </w:tr>
      <w:tr w:rsidR="00CF0B41" w14:paraId="092FEE2A" w14:textId="77777777" w:rsidTr="00C1274C">
        <w:trPr>
          <w:trHeight w:val="48"/>
        </w:trPr>
        <w:tc>
          <w:tcPr>
            <w:tcW w:w="1668" w:type="dxa"/>
            <w:vMerge/>
            <w:tcBorders>
              <w:top w:val="single" w:sz="5" w:space="0" w:color="000000"/>
              <w:left w:val="single" w:sz="5" w:space="0" w:color="000000"/>
              <w:right w:val="single" w:sz="5" w:space="0" w:color="000000"/>
            </w:tcBorders>
          </w:tcPr>
          <w:p w14:paraId="4D11B165"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CF543F"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EDFC596" w14:textId="77777777" w:rsidR="00CF0B41" w:rsidRPr="002E5448" w:rsidRDefault="00CF0B41" w:rsidP="00C1274C">
            <w:pPr>
              <w:widowControl w:val="0"/>
              <w:spacing w:before="40" w:after="40"/>
              <w:rPr>
                <w:rFonts w:ascii="Arial" w:eastAsia="Arial" w:hAnsi="Arial" w:cs="Arial"/>
                <w:sz w:val="18"/>
                <w:szCs w:val="18"/>
              </w:rPr>
            </w:pPr>
            <w:r w:rsidRPr="002E5448">
              <w:rPr>
                <w:rFonts w:ascii="Arial" w:eastAsia="Arial" w:hAnsi="Arial" w:cs="Arial"/>
                <w:sz w:val="18"/>
                <w:szCs w:val="18"/>
              </w:rPr>
              <w:t xml:space="preserve">To systematically analyze the impact of various strategies, a multi-step process was applied to prepare the data. Risk ratios were calculated using a two-by-two table, where participants were categorized based on their intervention group and vaccination outcome. The proportion of vaccinated individuals in the intervention group was divided by the proportion of vaccinated individuals in the control group to determine the RR for each study, where applicable. In studies reporting multiple vaccine outcomes (e.g., different vaccines or multiple doses), RRs were calculated for each individual vaccine and their doses. However, the full vaccination outcome was prioritized, as it was the most measured across studies and strategies. If full vaccination was not available, individual vaccine outcomes were aggregated using the median RR to represent 'full vaccination'. </w:t>
            </w:r>
          </w:p>
          <w:p w14:paraId="29ABD706" w14:textId="77777777" w:rsidR="00CF0B41" w:rsidRPr="002E5448" w:rsidRDefault="00CF0B41" w:rsidP="00C1274C">
            <w:pPr>
              <w:widowControl w:val="0"/>
              <w:spacing w:before="40" w:after="40"/>
              <w:rPr>
                <w:rFonts w:ascii="Arial" w:eastAsia="Arial" w:hAnsi="Arial" w:cs="Arial"/>
                <w:sz w:val="18"/>
                <w:szCs w:val="18"/>
              </w:rPr>
            </w:pPr>
            <w:r w:rsidRPr="002E5448">
              <w:rPr>
                <w:rFonts w:ascii="Arial" w:eastAsia="Arial" w:hAnsi="Arial" w:cs="Arial"/>
                <w:sz w:val="18"/>
                <w:szCs w:val="18"/>
              </w:rPr>
              <w:t xml:space="preserve">If a study employed advanced statistical methods (i.e., adjusting for clustering or confounders), the author-reported RRs were used rather than recalculating them. Some studies lacked extractable or standardized RR values due to insufficient reporting, such as only providing p-values, missing baseline or endline measures, or unclear group comparisons. Despite these limitations, such studies were retained for qualitative synthesis and contextual insights. </w:t>
            </w:r>
          </w:p>
          <w:p w14:paraId="4064B841" w14:textId="77777777" w:rsidR="00CF0B41" w:rsidRPr="002E5448" w:rsidRDefault="00CF0B41" w:rsidP="00C1274C">
            <w:pPr>
              <w:widowControl w:val="0"/>
              <w:spacing w:before="40" w:after="40"/>
              <w:rPr>
                <w:rFonts w:ascii="Arial" w:eastAsia="Arial" w:hAnsi="Arial" w:cs="Arial"/>
                <w:sz w:val="18"/>
                <w:szCs w:val="18"/>
              </w:rPr>
            </w:pPr>
            <w:r w:rsidRPr="002E5448">
              <w:rPr>
                <w:rFonts w:ascii="Arial" w:eastAsia="Arial" w:hAnsi="Arial" w:cs="Arial"/>
                <w:sz w:val="18"/>
                <w:szCs w:val="18"/>
              </w:rPr>
              <w:t xml:space="preserve">Meta-analyses were conducted for strategies represented by multiple studies, provided that the studies addressed the same underlying research question, used the same intervention strategy, used comparable outcome measures, and had conceptually similar mechanisms of intervention delivery. While comparators across some studies introduced some variability, all studies assessed the intervention's impact on vaccination uptake relative to a comparator that reflected standard practice or an alternative approach. This methodological consideration was incorporated into the interpretation of the pooled effect estimates. The Cochrane Handbook indicates that clinical diversity does not necessarily mean that meta-analysis should not be performed but rather that transparency is required regarding the underlying research question all studies are addressing (32). </w:t>
            </w:r>
          </w:p>
          <w:p w14:paraId="72FD5C7E" w14:textId="77777777" w:rsidR="00CF0B41" w:rsidRPr="002E5448" w:rsidRDefault="00CF0B41" w:rsidP="00C1274C">
            <w:pPr>
              <w:widowControl w:val="0"/>
              <w:spacing w:before="40" w:after="40"/>
              <w:rPr>
                <w:rFonts w:ascii="Arial" w:eastAsia="Arial" w:hAnsi="Arial" w:cs="Arial"/>
                <w:sz w:val="18"/>
                <w:szCs w:val="18"/>
              </w:rPr>
            </w:pPr>
            <w:r w:rsidRPr="002E5448">
              <w:rPr>
                <w:rFonts w:ascii="Arial" w:eastAsia="Arial" w:hAnsi="Arial" w:cs="Arial"/>
                <w:sz w:val="18"/>
                <w:szCs w:val="18"/>
              </w:rPr>
              <w:t xml:space="preserve">Meta-analysis was conducted separately for RCTs, cluster RCTs, and non-RCTs when multiple studies were available within each study design, allowing for an exploration of potential sources of heterogeneity. Cluster RCTs were pooled with RCTs only if they reported adjusted effect estimates accounting for clustering, while acknowledging that study design differences may contribute to heterogeneity. In this review, all included cluster RCTs in meta-analyses reported pre-adjusted risk ratios, which were used directly. Non-RCTs were always synthesized separately to recognize their potential contributions while avoiding inappropriate statistical pooling. </w:t>
            </w:r>
          </w:p>
          <w:p w14:paraId="7CD24787" w14:textId="77777777" w:rsidR="00CF0B41" w:rsidRPr="00467E29" w:rsidRDefault="00CF0B41" w:rsidP="00C1274C">
            <w:pPr>
              <w:widowControl w:val="0"/>
              <w:spacing w:before="40" w:after="40"/>
              <w:rPr>
                <w:rFonts w:ascii="Arial" w:eastAsia="Arial" w:hAnsi="Arial" w:cs="Arial"/>
                <w:color w:val="000000"/>
                <w:sz w:val="18"/>
                <w:szCs w:val="18"/>
              </w:rPr>
            </w:pPr>
            <w:r w:rsidRPr="00467E29">
              <w:rPr>
                <w:rFonts w:ascii="Arial" w:eastAsia="Arial" w:hAnsi="Arial" w:cs="Arial"/>
                <w:color w:val="000000"/>
                <w:sz w:val="18"/>
                <w:szCs w:val="18"/>
              </w:rPr>
              <w:t xml:space="preserve">The results of the meta-analyses included pooled risk ratios and their confidence intervals, along with a measure of heterogeneity indicated by I². Meta-analyses were performed using the random-effects model with the Paule-Mandel estimator to estimate the between-study variance. The random-effects model was selected due to expected between-study variability in settings, populations, and intervention designs. The Paule-Mandel estimator was used given its superior performance in estimating between-study variance, particularly for meta-analyses with moderate to high heterogeneity (33). This method has been shown to provide stable variance estimates in cases where traditional estimators (e.g., DerSimonian-Laird) may underperform. Additional measures of heterogeneity, such as τ² and Q, were also reported. </w:t>
            </w:r>
          </w:p>
          <w:p w14:paraId="2A0F0CB1" w14:textId="77777777" w:rsidR="00CF0B41" w:rsidRPr="00467E29" w:rsidRDefault="00CF0B41" w:rsidP="00C1274C">
            <w:pPr>
              <w:widowControl w:val="0"/>
              <w:spacing w:before="40" w:after="40"/>
              <w:rPr>
                <w:rFonts w:ascii="Arial" w:eastAsia="Arial" w:hAnsi="Arial" w:cs="Arial"/>
                <w:color w:val="000000"/>
                <w:sz w:val="18"/>
                <w:szCs w:val="18"/>
              </w:rPr>
            </w:pPr>
            <w:r w:rsidRPr="00467E29">
              <w:rPr>
                <w:rFonts w:ascii="Arial" w:eastAsia="Arial" w:hAnsi="Arial" w:cs="Arial"/>
                <w:color w:val="000000"/>
                <w:sz w:val="18"/>
                <w:szCs w:val="18"/>
              </w:rPr>
              <w:t xml:space="preserve">Meta-analyses were conducted using R, using the meta package. The metagen function was selected as it was more effective in handling pre-calculated binary data. The pre-calculated data included risk ratios, natural log risk ratios (ln RR), standard errors of the log RRs, and lower and upper confidence interval limits. When a study reported multiple arms with variants of the same strategy, sample and event sizes were combined </w:t>
            </w:r>
            <w:r w:rsidRPr="00467E29">
              <w:rPr>
                <w:rFonts w:ascii="Arial" w:eastAsia="Arial" w:hAnsi="Arial" w:cs="Arial"/>
                <w:color w:val="000000"/>
                <w:sz w:val="18"/>
                <w:szCs w:val="18"/>
              </w:rPr>
              <w:lastRenderedPageBreak/>
              <w:t xml:space="preserve">to avoid the unit-of-analysis problem. Summary effect estimates were calculated as weighted averages. Following standard practices in meta-analysis of risk ratios set by the Cochrane Handbook, studies were excluded from pooling if there were no events in both arms, as such studies do not provide any information on the direction or magnitude of the relative treatment effect (32). </w:t>
            </w:r>
          </w:p>
          <w:p w14:paraId="1E66A584" w14:textId="77777777" w:rsidR="00CF0B41" w:rsidRDefault="00CF0B41" w:rsidP="00C1274C">
            <w:pPr>
              <w:widowControl w:val="0"/>
              <w:spacing w:before="40" w:after="40"/>
              <w:rPr>
                <w:rFonts w:ascii="Arial" w:eastAsia="Arial" w:hAnsi="Arial" w:cs="Arial"/>
                <w:color w:val="000000"/>
                <w:sz w:val="18"/>
                <w:szCs w:val="18"/>
              </w:rPr>
            </w:pPr>
            <w:r w:rsidRPr="00467E29">
              <w:rPr>
                <w:rFonts w:ascii="Arial" w:eastAsia="Arial" w:hAnsi="Arial" w:cs="Arial"/>
                <w:color w:val="000000"/>
                <w:sz w:val="18"/>
                <w:szCs w:val="18"/>
              </w:rPr>
              <w:t xml:space="preserve">For data that could not be pooled, the goal was to standardize the RR across studies eligible for grouping. To summarize the effects of these strategies, median RR and interquartile ranges were used to produce an overall summary effect. This approach aligns with the Cochrane Handbook’s recommendations on summarizing effects when pooling is not feasible (34). </w:t>
            </w:r>
          </w:p>
        </w:tc>
        <w:tc>
          <w:tcPr>
            <w:tcW w:w="1200" w:type="dxa"/>
            <w:tcBorders>
              <w:top w:val="single" w:sz="5" w:space="0" w:color="000000"/>
              <w:left w:val="single" w:sz="5" w:space="0" w:color="000000"/>
              <w:bottom w:val="single" w:sz="5" w:space="0" w:color="000000"/>
              <w:right w:val="single" w:sz="5" w:space="0" w:color="000000"/>
            </w:tcBorders>
          </w:tcPr>
          <w:p w14:paraId="62E869CE"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lastRenderedPageBreak/>
              <w:t>11-12</w:t>
            </w:r>
          </w:p>
        </w:tc>
      </w:tr>
      <w:tr w:rsidR="00CF0B41" w14:paraId="55EEB995" w14:textId="77777777" w:rsidTr="00C1274C">
        <w:trPr>
          <w:trHeight w:val="48"/>
        </w:trPr>
        <w:tc>
          <w:tcPr>
            <w:tcW w:w="1668" w:type="dxa"/>
            <w:vMerge/>
            <w:tcBorders>
              <w:top w:val="single" w:sz="5" w:space="0" w:color="000000"/>
              <w:left w:val="single" w:sz="5" w:space="0" w:color="000000"/>
              <w:right w:val="single" w:sz="5" w:space="0" w:color="000000"/>
            </w:tcBorders>
          </w:tcPr>
          <w:p w14:paraId="0ED06B12"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CA852A6"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077A497" w14:textId="77777777" w:rsidR="00CF0B41" w:rsidRPr="00FC3E9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FC3E91">
              <w:rPr>
                <w:rFonts w:ascii="Arial" w:eastAsia="Arial" w:hAnsi="Arial" w:cs="Arial"/>
                <w:sz w:val="18"/>
                <w:szCs w:val="18"/>
              </w:rPr>
              <w:t>Subgroup analyses were initially planned based on pre-defined variables, including settings (e.g., urban, rural, conflict-affected, high-, medium-, low-income), strategy locations (e.g., facility-based, hospital-based, community-based), study designs (e.g., RCT, nRCT), and age groups (e.g., newborns, infants, older children). However, they were not feasible due to the limited number of studies within each strategy. Meta-analyses with fewer than 10 studies per subgroup lack sufficient statistical power to detect meaningful differences, increasing the risk of unreliable or misleading results (36). As a result, rather than performing underpowered subgroup analyses, we employed a narrative synthesis to descriptively compare studies and highlight observed trends.</w:t>
            </w:r>
          </w:p>
        </w:tc>
        <w:tc>
          <w:tcPr>
            <w:tcW w:w="1200" w:type="dxa"/>
            <w:tcBorders>
              <w:top w:val="single" w:sz="5" w:space="0" w:color="000000"/>
              <w:left w:val="single" w:sz="5" w:space="0" w:color="000000"/>
              <w:bottom w:val="single" w:sz="5" w:space="0" w:color="000000"/>
              <w:right w:val="single" w:sz="5" w:space="0" w:color="000000"/>
            </w:tcBorders>
          </w:tcPr>
          <w:p w14:paraId="58F1F91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13-14</w:t>
            </w:r>
          </w:p>
        </w:tc>
      </w:tr>
      <w:tr w:rsidR="00CF0B41" w14:paraId="0A8BCB05" w14:textId="77777777" w:rsidTr="00C1274C">
        <w:trPr>
          <w:trHeight w:val="50"/>
        </w:trPr>
        <w:tc>
          <w:tcPr>
            <w:tcW w:w="1668" w:type="dxa"/>
            <w:vMerge/>
            <w:tcBorders>
              <w:top w:val="single" w:sz="5" w:space="0" w:color="000000"/>
              <w:left w:val="single" w:sz="5" w:space="0" w:color="000000"/>
              <w:right w:val="single" w:sz="5" w:space="0" w:color="000000"/>
            </w:tcBorders>
          </w:tcPr>
          <w:p w14:paraId="4252601F"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3E5AAD"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C29A1C0"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Not applicable.</w:t>
            </w:r>
          </w:p>
        </w:tc>
        <w:tc>
          <w:tcPr>
            <w:tcW w:w="1200" w:type="dxa"/>
            <w:tcBorders>
              <w:top w:val="single" w:sz="5" w:space="0" w:color="000000"/>
              <w:left w:val="single" w:sz="5" w:space="0" w:color="000000"/>
              <w:bottom w:val="single" w:sz="5" w:space="0" w:color="000000"/>
              <w:right w:val="single" w:sz="5" w:space="0" w:color="000000"/>
            </w:tcBorders>
          </w:tcPr>
          <w:p w14:paraId="342F02D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NA</w:t>
            </w:r>
          </w:p>
        </w:tc>
      </w:tr>
      <w:tr w:rsidR="00CF0B41" w14:paraId="56384DDB"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2FF8300C"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F57FCCC"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D8A000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Authors used the RoB 2 for RCTs; RoB 2 variant for cRCTs; and ROBINS-I for non-randomized studies. Authors also employed a GRADE assessment. All of these tools have an element of missing data, where authors made judgments.</w:t>
            </w:r>
          </w:p>
        </w:tc>
        <w:tc>
          <w:tcPr>
            <w:tcW w:w="1200" w:type="dxa"/>
            <w:tcBorders>
              <w:top w:val="single" w:sz="5" w:space="0" w:color="000000"/>
              <w:left w:val="single" w:sz="5" w:space="0" w:color="000000"/>
              <w:bottom w:val="single" w:sz="5" w:space="0" w:color="000000"/>
              <w:right w:val="single" w:sz="5" w:space="0" w:color="000000"/>
            </w:tcBorders>
          </w:tcPr>
          <w:p w14:paraId="423068F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S3, S5, S8</w:t>
            </w:r>
          </w:p>
        </w:tc>
      </w:tr>
      <w:tr w:rsidR="00CF0B41" w14:paraId="58E834C6"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490FC13F"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C755CEF"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D7B2EDE"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9C1BFCF" w14:textId="77777777" w:rsidR="00CF0B41" w:rsidRDefault="00CF0B41" w:rsidP="00C1274C">
            <w:pPr>
              <w:widowControl w:val="0"/>
              <w:spacing w:before="40" w:after="40"/>
              <w:rPr>
                <w:rFonts w:ascii="Arial" w:eastAsia="Arial" w:hAnsi="Arial" w:cs="Arial"/>
                <w:sz w:val="18"/>
                <w:szCs w:val="18"/>
              </w:rPr>
            </w:pPr>
            <w:r>
              <w:rPr>
                <w:rFonts w:ascii="Arial" w:eastAsia="Arial" w:hAnsi="Arial" w:cs="Arial"/>
                <w:sz w:val="18"/>
                <w:szCs w:val="18"/>
              </w:rPr>
              <w:t>14, S8</w:t>
            </w:r>
          </w:p>
        </w:tc>
      </w:tr>
      <w:tr w:rsidR="00CF0B41" w14:paraId="24C8E1E8"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5F3D8232"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RESULTS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55B89214" w14:textId="77777777" w:rsidR="00CF0B41" w:rsidRDefault="00CF0B41" w:rsidP="00C1274C">
            <w:pPr>
              <w:widowControl w:val="0"/>
              <w:pBdr>
                <w:top w:val="nil"/>
                <w:left w:val="nil"/>
                <w:bottom w:val="nil"/>
                <w:right w:val="nil"/>
                <w:between w:val="nil"/>
              </w:pBdr>
              <w:jc w:val="center"/>
              <w:rPr>
                <w:rFonts w:ascii="Arial" w:eastAsia="Arial" w:hAnsi="Arial" w:cs="Arial"/>
                <w:color w:val="000000"/>
                <w:sz w:val="18"/>
                <w:szCs w:val="18"/>
              </w:rPr>
            </w:pPr>
          </w:p>
        </w:tc>
      </w:tr>
      <w:tr w:rsidR="00CF0B41" w14:paraId="2313DA80" w14:textId="77777777" w:rsidTr="00C1274C">
        <w:trPr>
          <w:trHeight w:val="48"/>
        </w:trPr>
        <w:tc>
          <w:tcPr>
            <w:tcW w:w="1668" w:type="dxa"/>
            <w:vMerge w:val="restart"/>
            <w:tcBorders>
              <w:top w:val="single" w:sz="5" w:space="0" w:color="000000"/>
              <w:left w:val="single" w:sz="5" w:space="0" w:color="000000"/>
              <w:right w:val="single" w:sz="5" w:space="0" w:color="000000"/>
            </w:tcBorders>
          </w:tcPr>
          <w:p w14:paraId="498F568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AF82DD3"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E02BFE2" w14:textId="77777777" w:rsidR="00CF0B41" w:rsidRPr="00D23C2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D23C21">
              <w:rPr>
                <w:rFonts w:ascii="Arial" w:eastAsia="Arial" w:hAnsi="Arial" w:cs="Arial"/>
                <w:sz w:val="18"/>
                <w:szCs w:val="18"/>
              </w:rPr>
              <w:t>Across four databases—MEDLINE, EMBASE, PsycINFO, and CINAHL—we screened the titles and abstracts of 3,203 studies, followed by a full-text review of 86 documents. The backward and forward citation searches identified an additional 48 unique studies for title and abstract screening, leading to a full-text review of 22 studies. Fig 1 provides details on the number of studies that progressed through each phase of the screening process using the PRISMA flow diagram (25). To note, at the extraction phase, 23 studies were excluded due to further investigation revealing reasons for exclusion or changes in the definition of eligible study designs. S4 Table outlines the studies excluded during the extraction phase and the reasons for their exclusion. A consensus was reached on the eligibility of all included studies. Ultimately, 35 studies met our inclusion criteria, and their data were extracted.</w:t>
            </w:r>
          </w:p>
        </w:tc>
        <w:tc>
          <w:tcPr>
            <w:tcW w:w="1200" w:type="dxa"/>
            <w:tcBorders>
              <w:top w:val="single" w:sz="5" w:space="0" w:color="000000"/>
              <w:left w:val="single" w:sz="5" w:space="0" w:color="000000"/>
              <w:bottom w:val="single" w:sz="5" w:space="0" w:color="000000"/>
              <w:right w:val="single" w:sz="5" w:space="0" w:color="000000"/>
            </w:tcBorders>
          </w:tcPr>
          <w:p w14:paraId="0A881ED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15, Fig 1</w:t>
            </w:r>
          </w:p>
        </w:tc>
      </w:tr>
      <w:tr w:rsidR="00CF0B41" w14:paraId="546D81D0" w14:textId="77777777" w:rsidTr="00C1274C">
        <w:trPr>
          <w:trHeight w:val="48"/>
        </w:trPr>
        <w:tc>
          <w:tcPr>
            <w:tcW w:w="1668" w:type="dxa"/>
            <w:vMerge/>
            <w:tcBorders>
              <w:top w:val="single" w:sz="5" w:space="0" w:color="000000"/>
              <w:left w:val="single" w:sz="5" w:space="0" w:color="000000"/>
              <w:right w:val="single" w:sz="5" w:space="0" w:color="000000"/>
            </w:tcBorders>
          </w:tcPr>
          <w:p w14:paraId="4BB22369"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0554DB"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39503A4"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To note, at the extraction phase, 23 studies were excluded due to further investigation revealing reasons for exclusion or changes in the definition of eligible study designs. supporting File 4 outlines the studies excluded during the extraction phase and the reasons for their exclusion.</w:t>
            </w:r>
          </w:p>
        </w:tc>
        <w:tc>
          <w:tcPr>
            <w:tcW w:w="1200" w:type="dxa"/>
            <w:tcBorders>
              <w:top w:val="single" w:sz="5" w:space="0" w:color="000000"/>
              <w:left w:val="single" w:sz="5" w:space="0" w:color="000000"/>
              <w:bottom w:val="single" w:sz="5" w:space="0" w:color="000000"/>
              <w:right w:val="single" w:sz="5" w:space="0" w:color="000000"/>
            </w:tcBorders>
          </w:tcPr>
          <w:p w14:paraId="46B9794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15, S4</w:t>
            </w:r>
          </w:p>
        </w:tc>
      </w:tr>
      <w:tr w:rsidR="00CF0B41" w14:paraId="30A61959" w14:textId="77777777" w:rsidTr="00C1274C">
        <w:trPr>
          <w:trHeight w:val="103"/>
        </w:trPr>
        <w:tc>
          <w:tcPr>
            <w:tcW w:w="1668" w:type="dxa"/>
            <w:tcBorders>
              <w:top w:val="single" w:sz="5" w:space="0" w:color="000000"/>
              <w:left w:val="single" w:sz="5" w:space="0" w:color="000000"/>
              <w:bottom w:val="single" w:sz="5" w:space="0" w:color="000000"/>
              <w:right w:val="single" w:sz="5" w:space="0" w:color="000000"/>
            </w:tcBorders>
          </w:tcPr>
          <w:p w14:paraId="0819E22E"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406BB7A"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1531D12"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Year of publication </w:t>
            </w:r>
          </w:p>
          <w:p w14:paraId="1C8F2F02"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The included articles were published as early as 1996 and as recently as 2024 (59,67). Two articles were published between 1996–1999, and four articles were published between 2000–2009 (31,44,48,49,67,69). The majority of the articles used in the review were published between 2010 and 2019 (n = 15) (41,43,46,47,52,53,56,57,60–65,70), followed by 14 articles from 2020 to 2024 (30,40,42,45,50,51,54,55,58,59,66,68,71,72). A growing body of evidence on this topic emerged in the last 15 years, with the majority of the included studies (n = 29) published between 2010 and 2024, This reflects an increasing focus on this area of research in recent years, particularly in 2021, which saw the highest number of publications (n = 5) (40,50,58,66,72). </w:t>
            </w:r>
          </w:p>
          <w:p w14:paraId="3C0B0FC2"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Study design </w:t>
            </w:r>
          </w:p>
          <w:p w14:paraId="0F684984"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The articles included in the review used three kinds of designs, including randomized controlled trials (n = 15) (40–42,45–49,53,55,60,63–66), cluster randomized controlled trials (n = 11) (30,31,44,54,56–58,61,62,67,70), and controlled before-after studies (n = 9) (43,50–</w:t>
            </w:r>
            <w:r w:rsidRPr="00724001">
              <w:rPr>
                <w:rFonts w:ascii="Arial" w:eastAsia="Arial" w:hAnsi="Arial" w:cs="Arial"/>
                <w:sz w:val="18"/>
                <w:szCs w:val="18"/>
              </w:rPr>
              <w:lastRenderedPageBreak/>
              <w:t xml:space="preserve">52,59,68,69,71,72). </w:t>
            </w:r>
          </w:p>
          <w:p w14:paraId="2ED8FDBC"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Study settings/locations </w:t>
            </w:r>
          </w:p>
          <w:p w14:paraId="558AD24A"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Healthcare settings made up the largest share of study settings, including health clinics (n=6), hospitals (n = 1), immunization centers (n = 2), and primary care clinics (n=2) (40–42,44–46,48,54,58,60,64). Strategies were also implemented in community settings (n = 2) and home-based settings (n = 5) (31,62,63,65–67,69). Conflict settings, internally displaced camps, and rural hard-to-reach areas were the focal points of three studies (30,52,59). Three studies were conducted in rural areas, while single studies described settings such as combined urban and rural areas, home and clinic combinations, peri-urban areas, and urban areas (43,47,53,56,57,61,63). There were also eight studies where the setting was undefined (49–51,55,68,70–72). </w:t>
            </w:r>
          </w:p>
          <w:p w14:paraId="49B2352D"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The majority of studies were conducted in Pakistan (n = 9), making it the most frequently studied country (31,42,47,55,59,60,62,63,71). This was followed by Nigeria with five studies (n = 5) and the USA with four studies (n = 4) (44,45,48–50,58,66,69,72). India also had three studies (n = 3), while Zimbabwe, Kenya, and China were the setting for two studies (n =2) each (41,53,56,57,61,64,65,68,70). Single studies were identified in Ghana, Bangladesh, Uganda, Somalia, Ethiopia, Canada, Guatemala, and Australia (30,40,43,46,51,52,54,67). </w:t>
            </w:r>
          </w:p>
          <w:p w14:paraId="54AEE673"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Participants </w:t>
            </w:r>
          </w:p>
          <w:p w14:paraId="54CBA138"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The most frequently targeted populations across the studies included caregivers (broadly defined) of vaccine-eligible children (n = 12) and mothers specifically (n = 15) (31,40–50,52,53,55,57,59–68,70,71). These groups were often the focus of interventions aimed at improving vaccination coverage. Other participants were involved in healthcare and community roles. For instance, healthcare providers, including EPI service providers, general healthcare providers, community health workers, traditional and religious leaders, and village doctors were recruited in several studies (n = 7) (30,54,56,58,62,69,72). Additionally, in one study, no specific participant group was identified (51). </w:t>
            </w:r>
          </w:p>
          <w:p w14:paraId="22F4BA36"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Pediatric populations </w:t>
            </w:r>
          </w:p>
          <w:p w14:paraId="21986D6E" w14:textId="77777777" w:rsidR="00CF0B41" w:rsidRPr="0072400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Pediatric populations across the studies varied widely, reflecting a broad range of age groups. Some studies included a more broadly focused pediatric population, focused on children under five years old (n = 7) (30,31,48,59,62,68,70). Infants and young children, specifically those aged 0-24 and 12-24 months (n = 5) were also frequently the focal population (51,53,55,56,72). </w:t>
            </w:r>
          </w:p>
          <w:p w14:paraId="6FAAD732" w14:textId="77777777" w:rsidR="00CF0B41"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Other age groups included newborns and infants (n = 8) within the first few weeks or months of life (e.g., 0-34 days, less than 2 weeks, 4 weeks, 6 weeks, 8-14 weeks, 0-2 months, less than 3 months) (40–42,45,46,50,61,63). Additionally, studies focused on specific age ranges such as 12-18 months, 0-36 months, 3-59 months, 19-35 months, 6-24 months, and children 1-3 years (44,49,52,54,57,64–67,69). Two studies did not specify a particular pediatric population (27,43). The wide spectrum of pediatric age groups highlights the focus on both early infancy and specific developmental stages up to 5 years of age. </w:t>
            </w:r>
          </w:p>
        </w:tc>
        <w:tc>
          <w:tcPr>
            <w:tcW w:w="1200" w:type="dxa"/>
            <w:tcBorders>
              <w:top w:val="single" w:sz="5" w:space="0" w:color="000000"/>
              <w:left w:val="single" w:sz="5" w:space="0" w:color="000000"/>
              <w:bottom w:val="single" w:sz="5" w:space="0" w:color="000000"/>
              <w:right w:val="single" w:sz="5" w:space="0" w:color="000000"/>
            </w:tcBorders>
          </w:tcPr>
          <w:p w14:paraId="080E88E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lastRenderedPageBreak/>
              <w:t>21-23, Table 2</w:t>
            </w:r>
          </w:p>
        </w:tc>
      </w:tr>
      <w:tr w:rsidR="00CF0B41" w14:paraId="5889ED3E"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6F273D9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F7327B8"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FC7918B" w14:textId="77777777" w:rsidR="00CF0B41" w:rsidRPr="00B170CB" w:rsidRDefault="00CF0B41" w:rsidP="00C1274C">
            <w:pPr>
              <w:widowControl w:val="0"/>
              <w:spacing w:before="240" w:after="240"/>
              <w:rPr>
                <w:rFonts w:ascii="Arial" w:eastAsia="Arial" w:hAnsi="Arial" w:cs="Arial"/>
                <w:sz w:val="18"/>
                <w:szCs w:val="18"/>
              </w:rPr>
            </w:pPr>
            <w:r w:rsidRPr="00724001">
              <w:rPr>
                <w:rFonts w:ascii="Arial" w:eastAsia="Arial" w:hAnsi="Arial" w:cs="Arial"/>
                <w:sz w:val="18"/>
                <w:szCs w:val="18"/>
              </w:rPr>
              <w:t xml:space="preserve">Assessment of the risk of bias in included RCT studies (n = 15) revealed varying results. Five studies yielded an overall low risk of bias, indicating that across all five domains, we did not identify any concerns (40,42,53,55,65). The majority of RCTs included in the review demonstrated some risk of bias (n = 7) (41,45–47,49,60,66), while three demonstrated a high risk of bias (48,63,64). Assessment of risk of bias in included cluster RCT studies (n = 11) revealed ‘some concerns’ and ‘high risk’ of bias overall. Six studies were deemed to have some concerns (30,56,58,61,67,70), while five were labeled to be high in at least one domain (31,44,54,57,62). In assessing the nine non-randomized studies (i.e. controlled before-after studies), most presented a judgment of ‘moderate risk’ (n = 5) (43,51,52,59,71), while some presented a ‘serious risk’ of bias (n = 4) (50,68,69,72). The risk of bias traffic light plots of the domain-level judgments for each result can be found in S5 Figs. </w:t>
            </w:r>
          </w:p>
        </w:tc>
        <w:tc>
          <w:tcPr>
            <w:tcW w:w="1200" w:type="dxa"/>
            <w:tcBorders>
              <w:top w:val="single" w:sz="5" w:space="0" w:color="000000"/>
              <w:left w:val="single" w:sz="5" w:space="0" w:color="000000"/>
              <w:bottom w:val="single" w:sz="5" w:space="0" w:color="000000"/>
              <w:right w:val="single" w:sz="5" w:space="0" w:color="000000"/>
            </w:tcBorders>
          </w:tcPr>
          <w:p w14:paraId="762730D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22-24, S3, S5</w:t>
            </w:r>
          </w:p>
        </w:tc>
      </w:tr>
      <w:tr w:rsidR="00CF0B41" w14:paraId="173A1370"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3E5F397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62C712E"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51FEE194" w14:textId="77777777" w:rsidR="00CF0B41" w:rsidRPr="00AB3D2F"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AB3D2F">
              <w:rPr>
                <w:rFonts w:ascii="Arial" w:eastAsia="Arial" w:hAnsi="Arial" w:cs="Arial"/>
                <w:sz w:val="18"/>
                <w:szCs w:val="18"/>
              </w:rPr>
              <w:t xml:space="preserve">A total of 28 distinct strategies were identified across the 35 included studies, with some studies reporting on multiple strategies. The summary estimate of the effects of vaccination coverage based on each strategy is summarized in Table 3 (full table can be found in S6 Table). </w:t>
            </w:r>
          </w:p>
        </w:tc>
        <w:tc>
          <w:tcPr>
            <w:tcW w:w="1200" w:type="dxa"/>
            <w:tcBorders>
              <w:top w:val="single" w:sz="5" w:space="0" w:color="000000"/>
              <w:left w:val="single" w:sz="5" w:space="0" w:color="000000"/>
              <w:bottom w:val="single" w:sz="5" w:space="0" w:color="000000"/>
              <w:right w:val="single" w:sz="5" w:space="0" w:color="000000"/>
            </w:tcBorders>
          </w:tcPr>
          <w:p w14:paraId="3A20CBE0"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24, Table 3</w:t>
            </w:r>
          </w:p>
        </w:tc>
      </w:tr>
      <w:tr w:rsidR="00CF0B41" w14:paraId="4427FA5D" w14:textId="77777777" w:rsidTr="00C1274C">
        <w:trPr>
          <w:trHeight w:val="48"/>
        </w:trPr>
        <w:tc>
          <w:tcPr>
            <w:tcW w:w="1668" w:type="dxa"/>
            <w:vMerge w:val="restart"/>
            <w:tcBorders>
              <w:top w:val="single" w:sz="5" w:space="0" w:color="000000"/>
              <w:left w:val="single" w:sz="5" w:space="0" w:color="000000"/>
              <w:right w:val="single" w:sz="5" w:space="0" w:color="000000"/>
            </w:tcBorders>
          </w:tcPr>
          <w:p w14:paraId="2A0878F8"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2158E4C"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000C909" w14:textId="77777777" w:rsidR="00CF0B41" w:rsidRDefault="00CF0B41" w:rsidP="00C1274C">
            <w:pPr>
              <w:widowControl w:val="0"/>
              <w:spacing w:before="40" w:after="40"/>
              <w:rPr>
                <w:rFonts w:ascii="Arial" w:eastAsia="Arial" w:hAnsi="Arial" w:cs="Arial"/>
                <w:sz w:val="18"/>
                <w:szCs w:val="18"/>
              </w:rPr>
            </w:pPr>
            <w:r w:rsidRPr="00724001">
              <w:rPr>
                <w:rFonts w:ascii="Arial" w:eastAsia="Arial" w:hAnsi="Arial" w:cs="Arial"/>
                <w:sz w:val="18"/>
                <w:szCs w:val="18"/>
              </w:rPr>
              <w:t xml:space="preserve">Assessment of the risk of bias in included RCT studies (n = 15) revealed varying results. Five studies yielded an overall low risk of bias, indicating that across all five domains, we did not identify any concerns (40,42,53,55,65). The majority of RCTs included in the review demonstrated some risk of bias (n = 7) (41,45–47,49,60,66), while three demonstrated a high risk of bias (48,63,64). Assessment of risk of bias in included cluster RCT studies (n = 11) revealed ‘some concerns’ and ‘high risk’ of bias overall. Six studies were deemed to have some concerns (30,56,58,61,67,70), while five were labeled to be high in at least one domain (31,44,54,57,62). In assessing the nine non-randomized studies (i.e. controlled before-after studies), most presented a judgment of ‘moderate risk’ (n = 5) (43,51,52,59,71), while some presented a ‘serious risk’ of bias (n = 4) (50,68,69,72). The risk of bias traffic light plots of the domain-level judgments for each result can be found in S5 Figs. </w:t>
            </w:r>
          </w:p>
        </w:tc>
        <w:tc>
          <w:tcPr>
            <w:tcW w:w="1200" w:type="dxa"/>
            <w:tcBorders>
              <w:top w:val="single" w:sz="5" w:space="0" w:color="000000"/>
              <w:left w:val="single" w:sz="5" w:space="0" w:color="000000"/>
              <w:bottom w:val="single" w:sz="5" w:space="0" w:color="000000"/>
              <w:right w:val="single" w:sz="5" w:space="0" w:color="000000"/>
            </w:tcBorders>
          </w:tcPr>
          <w:p w14:paraId="292D266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23-24, S3, S5</w:t>
            </w:r>
          </w:p>
        </w:tc>
      </w:tr>
      <w:tr w:rsidR="00CF0B41" w14:paraId="6E41FE65" w14:textId="77777777" w:rsidTr="00C1274C">
        <w:trPr>
          <w:trHeight w:val="203"/>
        </w:trPr>
        <w:tc>
          <w:tcPr>
            <w:tcW w:w="1668" w:type="dxa"/>
            <w:vMerge/>
            <w:tcBorders>
              <w:top w:val="single" w:sz="5" w:space="0" w:color="000000"/>
              <w:left w:val="single" w:sz="5" w:space="0" w:color="000000"/>
              <w:right w:val="single" w:sz="5" w:space="0" w:color="000000"/>
            </w:tcBorders>
          </w:tcPr>
          <w:p w14:paraId="4CBCA8A9"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9F444A"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50BD67A"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The authors presented the r</w:t>
            </w:r>
            <w:r>
              <w:rPr>
                <w:rFonts w:ascii="Arial" w:eastAsia="Arial" w:hAnsi="Arial" w:cs="Arial"/>
                <w:color w:val="000000"/>
                <w:sz w:val="18"/>
                <w:szCs w:val="18"/>
              </w:rPr>
              <w:t>esults of all statistical syntheses conducted</w:t>
            </w:r>
            <w:r>
              <w:rPr>
                <w:rFonts w:ascii="Arial" w:eastAsia="Arial" w:hAnsi="Arial" w:cs="Arial"/>
                <w:sz w:val="18"/>
                <w:szCs w:val="18"/>
              </w:rPr>
              <w:t>, including the meta-analyses and median risk ratios and interquartile range.</w:t>
            </w:r>
          </w:p>
        </w:tc>
        <w:tc>
          <w:tcPr>
            <w:tcW w:w="1200" w:type="dxa"/>
            <w:tcBorders>
              <w:top w:val="single" w:sz="5" w:space="0" w:color="000000"/>
              <w:left w:val="single" w:sz="5" w:space="0" w:color="000000"/>
              <w:bottom w:val="single" w:sz="5" w:space="0" w:color="000000"/>
              <w:right w:val="single" w:sz="5" w:space="0" w:color="000000"/>
            </w:tcBorders>
          </w:tcPr>
          <w:p w14:paraId="322FC915" w14:textId="77777777" w:rsidR="00CF0B41" w:rsidRDefault="00CF0B41" w:rsidP="00C1274C">
            <w:pPr>
              <w:widowControl w:val="0"/>
              <w:spacing w:before="40" w:after="40"/>
              <w:rPr>
                <w:rFonts w:ascii="Arial" w:eastAsia="Arial" w:hAnsi="Arial" w:cs="Arial"/>
                <w:color w:val="000000"/>
                <w:sz w:val="18"/>
                <w:szCs w:val="18"/>
              </w:rPr>
            </w:pPr>
            <w:r>
              <w:rPr>
                <w:rFonts w:ascii="Arial" w:eastAsia="Arial" w:hAnsi="Arial" w:cs="Arial"/>
                <w:sz w:val="18"/>
                <w:szCs w:val="18"/>
              </w:rPr>
              <w:t>26-52, Table 3</w:t>
            </w:r>
          </w:p>
        </w:tc>
      </w:tr>
      <w:tr w:rsidR="00CF0B41" w14:paraId="768CA6A3" w14:textId="77777777" w:rsidTr="00C1274C">
        <w:trPr>
          <w:trHeight w:val="48"/>
        </w:trPr>
        <w:tc>
          <w:tcPr>
            <w:tcW w:w="1668" w:type="dxa"/>
            <w:vMerge/>
            <w:tcBorders>
              <w:top w:val="single" w:sz="5" w:space="0" w:color="000000"/>
              <w:left w:val="single" w:sz="5" w:space="0" w:color="000000"/>
              <w:right w:val="single" w:sz="5" w:space="0" w:color="000000"/>
            </w:tcBorders>
          </w:tcPr>
          <w:p w14:paraId="74C96BBD"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372605"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4BA917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46B619E"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32-40</w:t>
            </w:r>
          </w:p>
        </w:tc>
      </w:tr>
      <w:tr w:rsidR="00CF0B41" w14:paraId="29C381A3" w14:textId="77777777" w:rsidTr="00C1274C">
        <w:trPr>
          <w:trHeight w:val="48"/>
        </w:trPr>
        <w:tc>
          <w:tcPr>
            <w:tcW w:w="1668" w:type="dxa"/>
            <w:vMerge/>
            <w:tcBorders>
              <w:top w:val="single" w:sz="5" w:space="0" w:color="000000"/>
              <w:left w:val="single" w:sz="5" w:space="0" w:color="000000"/>
              <w:right w:val="single" w:sz="5" w:space="0" w:color="000000"/>
            </w:tcBorders>
          </w:tcPr>
          <w:p w14:paraId="0CE1BCEB"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194708"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3C6D892"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E6F2AA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N/A</w:t>
            </w:r>
          </w:p>
        </w:tc>
      </w:tr>
      <w:tr w:rsidR="00CF0B41" w14:paraId="56003F3A"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4C511C90"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EC18BB0"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4218D4CD" w14:textId="77777777" w:rsidR="00CF0B41" w:rsidRDefault="00CF0B41" w:rsidP="00C1274C">
            <w:pPr>
              <w:widowControl w:val="0"/>
              <w:spacing w:before="40" w:after="40"/>
              <w:rPr>
                <w:rFonts w:ascii="Arial" w:eastAsia="Arial" w:hAnsi="Arial" w:cs="Arial"/>
                <w:sz w:val="18"/>
                <w:szCs w:val="18"/>
              </w:rPr>
            </w:pPr>
            <w:r>
              <w:rPr>
                <w:rFonts w:ascii="Arial" w:eastAsia="Arial" w:hAnsi="Arial" w:cs="Arial"/>
                <w:sz w:val="18"/>
                <w:szCs w:val="18"/>
              </w:rPr>
              <w:t>The risk of bias traffic light plots of the domain-level judgements for each individual result can be found in Supplementary File 5, for which “missing data” was a domain that was considered for each study</w:t>
            </w:r>
          </w:p>
        </w:tc>
        <w:tc>
          <w:tcPr>
            <w:tcW w:w="1200" w:type="dxa"/>
            <w:tcBorders>
              <w:top w:val="single" w:sz="5" w:space="0" w:color="000000"/>
              <w:left w:val="single" w:sz="5" w:space="0" w:color="000000"/>
              <w:bottom w:val="single" w:sz="5" w:space="0" w:color="000000"/>
              <w:right w:val="single" w:sz="5" w:space="0" w:color="000000"/>
            </w:tcBorders>
          </w:tcPr>
          <w:p w14:paraId="4DA88B9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S5</w:t>
            </w:r>
          </w:p>
        </w:tc>
      </w:tr>
      <w:tr w:rsidR="00CF0B41" w14:paraId="52635FF8"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62867B52"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C35DE2A"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998E83F"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A127D73"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32-40, S8</w:t>
            </w:r>
          </w:p>
        </w:tc>
      </w:tr>
      <w:tr w:rsidR="00CF0B41" w14:paraId="2C5801C2"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96599F7"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DISCUSSION </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59D06FA5" w14:textId="77777777" w:rsidR="00CF0B41" w:rsidRDefault="00CF0B41" w:rsidP="00C1274C">
            <w:pPr>
              <w:widowControl w:val="0"/>
              <w:pBdr>
                <w:top w:val="nil"/>
                <w:left w:val="nil"/>
                <w:bottom w:val="nil"/>
                <w:right w:val="nil"/>
                <w:between w:val="nil"/>
              </w:pBdr>
              <w:jc w:val="center"/>
              <w:rPr>
                <w:rFonts w:ascii="Arial" w:eastAsia="Arial" w:hAnsi="Arial" w:cs="Arial"/>
                <w:color w:val="000000"/>
                <w:sz w:val="18"/>
                <w:szCs w:val="18"/>
              </w:rPr>
            </w:pPr>
          </w:p>
        </w:tc>
      </w:tr>
      <w:tr w:rsidR="00CF0B41" w14:paraId="6BF5927A" w14:textId="77777777" w:rsidTr="00C1274C">
        <w:trPr>
          <w:trHeight w:val="48"/>
        </w:trPr>
        <w:tc>
          <w:tcPr>
            <w:tcW w:w="1668" w:type="dxa"/>
            <w:vMerge w:val="restart"/>
            <w:tcBorders>
              <w:top w:val="single" w:sz="5" w:space="0" w:color="000000"/>
              <w:left w:val="single" w:sz="5" w:space="0" w:color="000000"/>
              <w:right w:val="single" w:sz="5" w:space="0" w:color="000000"/>
            </w:tcBorders>
          </w:tcPr>
          <w:p w14:paraId="474829C5"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677508B"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A59C681" w14:textId="77777777" w:rsidR="00CF0B41"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D94A90">
              <w:rPr>
                <w:rFonts w:ascii="Arial" w:eastAsia="Arial" w:hAnsi="Arial" w:cs="Arial"/>
                <w:sz w:val="18"/>
                <w:szCs w:val="18"/>
              </w:rPr>
              <w:t xml:space="preserve">This review found that nearly all interventions improved vaccine coverage compared with standard practice, indicating that structured strategies are generally more effective than usual care or no intervention. However, effect sizes varied considerably, highlighting the influence of study design, implementation context, and intervention type. The most effective approaches included reminder systems (mail, telephone, or combined), mobile clinics with and without incentives, and training of primary healthcare workers in interpersonal communication skills (46,55,70). Despite these promising results, caution is warranted due to high variability in effect size and precision, risk of bias, and in some cases, small sample sizes. For example, one trial of telephone and mail reminders that showed large effects had fewer than 70 participants per arm (46). By contrast, a multicomponent strategy involving healthcare worker and community leader training demonstrated no improvement in coverage, illustrating that complexity does not guarantee effectiveness (56). Several factors explain the variation in intervention performance. Post-hoc hypotheses for the observed heterogeneity in the results include differences in study design and quality, control group differences, child age, setting, and combined approaches. First, RCTs with low or some risk of bias generally showed a positive direction of effect with consistent impact sizes, while high-risk RCTs and non-RCTs displayed more variable effects. RCTs with low or moderate risk of bias generally presented fewer issues, while high-risk RCTs and non-RCTs produced more variable results. High-quality evidence supports SMS reminders, SMS plus incentives, and immunization bracelets as effective, scalable, and cost-efficient approaches. Second, interventions had a greater impact when evaluated against a 'no intervention' control as opposed to ‘usual care’ or a lesser frequency control of the strategy. This was demonstrated by a study comparing home visits versus usual care (47), and one representing no intervention for the control group (65), in which the latter study produced larger effects. In comparison, the multiple intervention groups exposed to the clinic assessments and referrals strategy (which differed by frequency of visits) produced minimal differences in impact between the groups (42). Third, outreach strategies showed a stronger positive effect in LMICs, and more particularly, in underserved areas, such as rural or conflict-affected regions, compared to urban settings. Notable examples of LMIC-favorable strategies include the higher effectiveness of mobile clinics as well as home visits. For example, in our review, home visits in Ghana had a more significant impact on vaccine coverage than similar strategies in the United States (47,65).  The findings suggest that in settings where access to healthcare is more limited, personalized interventions like home visits can be particularly powerful in improving coverage. On the other hand, the findings may be highlighting that vaccination uptake is highly contextualized and affected by culture and acceptance around outreach services. Fourth, strategies for younger children demonstrated a more substantial impact than older children exposed to the strategy. Most interventions targeted children under two years of age, consistent with vaccination schedules. These strategies tended to show stronger effects, although trends varied with later doses. This inconsistency could be attributed to the specific nature of </w:t>
            </w:r>
            <w:r w:rsidRPr="00D94A90">
              <w:rPr>
                <w:rFonts w:ascii="Arial" w:eastAsia="Arial" w:hAnsi="Arial" w:cs="Arial"/>
                <w:sz w:val="18"/>
                <w:szCs w:val="18"/>
              </w:rPr>
              <w:lastRenderedPageBreak/>
              <w:t>vaccination schedules, such as the timing of the measles vaccine at nine months, which might explain higher uptake at older ages (10,71). Fifth, interventions that layered multiple components (e.g., telephone plus mail reminders, mobile clinics with incentives) consistently produced larger effects than single-component strategies. Intervention complexity can be understood from three perspectives: (i) the inherent complexity of the intervention itself, (ii) the complex interactions occurring within specific implementation contexts, and (iii) the broader, interconnected socio-ecological system in which the intervention is delivered (72). This review found that many strategies incorporated multiple components within both the experimental and control groups, contributing to their complexity. The effectiveness of vaccination strategies depends on their interaction with local systems and contexts. Pfadenhauer et al. emphasize that interventions cannot be separated from their physical, social, and systemic environments (72,73). For instance, outcomes are shaped by supply chains, cold-chain capacity, health worker training, and integration with other health services. The WHO’s Strategic Advisory Group of Experts on Immunization (SAGE) reflects this complexity in its recommendations for interventions targeting vaccine hesitancy, noting that no single strategy is universally effective across all contexts. SAGE suggests that interventions should address various determinants, including contextual, individual, and vaccine-specific influences, and recommends strategies like engaging influential community leaders, mobilizing social support, training healthcare workers in communication, and providing non-financial incentives (74). Consistent with this perspective, community engagement-driven interventions, which operate in a bottom-up manner rather than the traditional top-down approach, have been shown to yield significant effects in promoting vaccination, as evidenced by a systematic review and meta-analyses (75). Strategies should adapt to local needs, resources, competing priorities, and socio-political contexts, incorporating flexibility and openness to change (76,77). This iterative approach ensures interventions are responsive to real-world demands and conducive to sustainable impact.</w:t>
            </w:r>
          </w:p>
        </w:tc>
        <w:tc>
          <w:tcPr>
            <w:tcW w:w="1200" w:type="dxa"/>
            <w:tcBorders>
              <w:top w:val="single" w:sz="5" w:space="0" w:color="000000"/>
              <w:left w:val="single" w:sz="5" w:space="0" w:color="000000"/>
              <w:bottom w:val="single" w:sz="5" w:space="0" w:color="000000"/>
              <w:right w:val="single" w:sz="5" w:space="0" w:color="000000"/>
            </w:tcBorders>
          </w:tcPr>
          <w:p w14:paraId="01210CD2"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lastRenderedPageBreak/>
              <w:t>52-55</w:t>
            </w:r>
          </w:p>
        </w:tc>
      </w:tr>
      <w:tr w:rsidR="00CF0B41" w14:paraId="1AEA8483" w14:textId="77777777" w:rsidTr="00C1274C">
        <w:trPr>
          <w:trHeight w:val="48"/>
        </w:trPr>
        <w:tc>
          <w:tcPr>
            <w:tcW w:w="1668" w:type="dxa"/>
            <w:vMerge/>
            <w:tcBorders>
              <w:top w:val="single" w:sz="5" w:space="0" w:color="000000"/>
              <w:left w:val="single" w:sz="5" w:space="0" w:color="000000"/>
              <w:right w:val="single" w:sz="5" w:space="0" w:color="000000"/>
            </w:tcBorders>
          </w:tcPr>
          <w:p w14:paraId="47014962"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7690BBF"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3F45B61" w14:textId="77777777" w:rsidR="00CF0B41" w:rsidRPr="003877B0"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3A1821">
              <w:rPr>
                <w:rFonts w:ascii="Arial" w:eastAsia="Arial" w:hAnsi="Arial" w:cs="Arial"/>
                <w:sz w:val="18"/>
                <w:szCs w:val="18"/>
              </w:rPr>
              <w:t xml:space="preserve">First, the methodological variation of included studies may affect the reliability of conclusions. We were limited in our ability to explore possible explanations for heterogeneity because of the small number of studies for each intervention. The decision to include all randomized and non-randomized controlled studies in the analysis was to ensure a comprehensive and globally relevant evidence base, capturing underrepresented community- and policy-level strategies. To mitigate this as best as possible, careful consideration was given to each study's bias when interpreting its impact on the overall findings. </w:t>
            </w:r>
            <w:r w:rsidRPr="00816E80">
              <w:rPr>
                <w:rFonts w:ascii="Arial" w:eastAsia="Arial" w:hAnsi="Arial" w:cs="Arial"/>
                <w:sz w:val="18"/>
                <w:szCs w:val="18"/>
              </w:rPr>
              <w:t>Third, the GRADE assessment in this systematic review has limitations due to the lack of pooled data for the majority of strategies, which restricts the evaluation of imprecision and consistency in strategies represented by only one study or multiple strategies that were not pooled. This absence makes it challenging to draw strong conclusions about the reliability and overall quality of the evidence. Fourth, our ability to further investigate potential publication bias was limited due to the small number of studies presented in each strategy. Traditional methods for assessing publication bias, such as funnel plots or Egger’s test, require a larger number of studies to produce reliable results. As a result, our capacity to detect or account for potential bias was constrained, which may affect the robustness of our conclusions.</w:t>
            </w:r>
          </w:p>
        </w:tc>
        <w:tc>
          <w:tcPr>
            <w:tcW w:w="1200" w:type="dxa"/>
            <w:tcBorders>
              <w:top w:val="single" w:sz="5" w:space="0" w:color="000000"/>
              <w:left w:val="single" w:sz="5" w:space="0" w:color="000000"/>
              <w:bottom w:val="single" w:sz="5" w:space="0" w:color="000000"/>
              <w:right w:val="single" w:sz="5" w:space="0" w:color="000000"/>
            </w:tcBorders>
          </w:tcPr>
          <w:p w14:paraId="40626C88"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56-57</w:t>
            </w:r>
          </w:p>
        </w:tc>
      </w:tr>
      <w:tr w:rsidR="00CF0B41" w14:paraId="1284E0C6" w14:textId="77777777" w:rsidTr="00C1274C">
        <w:trPr>
          <w:trHeight w:val="48"/>
        </w:trPr>
        <w:tc>
          <w:tcPr>
            <w:tcW w:w="1668" w:type="dxa"/>
            <w:vMerge/>
            <w:tcBorders>
              <w:top w:val="single" w:sz="5" w:space="0" w:color="000000"/>
              <w:left w:val="single" w:sz="5" w:space="0" w:color="000000"/>
              <w:right w:val="single" w:sz="5" w:space="0" w:color="000000"/>
            </w:tcBorders>
          </w:tcPr>
          <w:p w14:paraId="31EA46AB"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4" w:space="0" w:color="000000"/>
              <w:right w:val="single" w:sz="5" w:space="0" w:color="000000"/>
            </w:tcBorders>
          </w:tcPr>
          <w:p w14:paraId="03A5E6FD"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0E9B3BB9" w14:textId="77777777" w:rsidR="00CF0B41" w:rsidRDefault="00CF0B41" w:rsidP="00C1274C">
            <w:pPr>
              <w:widowControl w:val="0"/>
              <w:spacing w:before="40" w:after="40"/>
              <w:rPr>
                <w:rFonts w:ascii="Arial" w:eastAsia="Arial" w:hAnsi="Arial" w:cs="Arial"/>
                <w:sz w:val="18"/>
                <w:szCs w:val="18"/>
              </w:rPr>
            </w:pPr>
            <w:r w:rsidRPr="00EA565E">
              <w:rPr>
                <w:rFonts w:ascii="Arial" w:eastAsia="Arial" w:hAnsi="Arial" w:cs="Arial"/>
                <w:sz w:val="18"/>
                <w:szCs w:val="18"/>
              </w:rPr>
              <w:t>Second, the wide PICOS inclusion criteria resulted in a large proportion of heterogeneous interventions without grouped estimates of their effect. This makes it challenging to draw strong conclusions from these studies, as their findings may be context-dependent. The selected approach, however, is similar to the broad inclusion criteria in a dietary and physical activity review, which incorporated various intervention components—such as policy, education, and environmental changes—allowing for a comprehensive understanding of what works across diverse settings and strategies (85). Moreover, the more similar review conducted by Oyo-Ita and colleagues focused on improving childhood immunization in low- and middle-income countries and employed broad inclusion criteria (83). A broad overview of diverse strategies for enhancing childhood vaccination offers valuable direction for future research to focus on high-quality studies that explore effective interventions and their long-term impact, their cost-effectiveness, as well as how they can be adapted to fit the needs of local contexts.</w:t>
            </w:r>
          </w:p>
        </w:tc>
        <w:tc>
          <w:tcPr>
            <w:tcW w:w="1200" w:type="dxa"/>
            <w:tcBorders>
              <w:top w:val="single" w:sz="5" w:space="0" w:color="000000"/>
              <w:left w:val="single" w:sz="5" w:space="0" w:color="000000"/>
              <w:bottom w:val="single" w:sz="5" w:space="0" w:color="000000"/>
              <w:right w:val="single" w:sz="5" w:space="0" w:color="000000"/>
            </w:tcBorders>
          </w:tcPr>
          <w:p w14:paraId="744EEA7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56-57</w:t>
            </w:r>
          </w:p>
        </w:tc>
      </w:tr>
      <w:tr w:rsidR="00CF0B41" w14:paraId="6D886221" w14:textId="77777777" w:rsidTr="00C1274C">
        <w:trPr>
          <w:trHeight w:val="48"/>
        </w:trPr>
        <w:tc>
          <w:tcPr>
            <w:tcW w:w="1668" w:type="dxa"/>
            <w:vMerge/>
            <w:tcBorders>
              <w:top w:val="single" w:sz="5" w:space="0" w:color="000000"/>
              <w:left w:val="single" w:sz="5" w:space="0" w:color="000000"/>
              <w:right w:val="single" w:sz="5" w:space="0" w:color="000000"/>
            </w:tcBorders>
          </w:tcPr>
          <w:p w14:paraId="0EAFB8D1"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4" w:space="0" w:color="000000"/>
              <w:left w:val="single" w:sz="5" w:space="0" w:color="000000"/>
              <w:bottom w:val="single" w:sz="4" w:space="0" w:color="000000"/>
              <w:right w:val="single" w:sz="4" w:space="0" w:color="000000"/>
            </w:tcBorders>
          </w:tcPr>
          <w:p w14:paraId="0651D5D6"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23d</w:t>
            </w:r>
          </w:p>
        </w:tc>
        <w:tc>
          <w:tcPr>
            <w:tcW w:w="11745" w:type="dxa"/>
            <w:tcBorders>
              <w:top w:val="single" w:sz="5" w:space="0" w:color="000000"/>
              <w:left w:val="single" w:sz="4" w:space="0" w:color="000000"/>
              <w:bottom w:val="single" w:sz="5" w:space="0" w:color="000000"/>
              <w:right w:val="single" w:sz="5" w:space="0" w:color="000000"/>
            </w:tcBorders>
          </w:tcPr>
          <w:p w14:paraId="0C853728" w14:textId="77777777" w:rsidR="00CF0B41" w:rsidRPr="00CC4F63" w:rsidRDefault="00CF0B41" w:rsidP="00C1274C">
            <w:pPr>
              <w:widowControl w:val="0"/>
              <w:pBdr>
                <w:top w:val="nil"/>
                <w:left w:val="nil"/>
                <w:bottom w:val="nil"/>
                <w:right w:val="nil"/>
                <w:between w:val="nil"/>
              </w:pBdr>
              <w:spacing w:before="40" w:after="40"/>
              <w:rPr>
                <w:rFonts w:ascii="Arial" w:eastAsia="Arial" w:hAnsi="Arial" w:cs="Arial"/>
                <w:sz w:val="18"/>
                <w:szCs w:val="18"/>
              </w:rPr>
            </w:pPr>
            <w:r w:rsidRPr="005B055B">
              <w:rPr>
                <w:rFonts w:ascii="Arial" w:eastAsia="Arial" w:hAnsi="Arial" w:cs="Arial"/>
                <w:sz w:val="18"/>
                <w:szCs w:val="18"/>
              </w:rPr>
              <w:t>The findings from this review have significant implications for the broader literature on vaccination strategies and for informing the development of more tailored approaches to improve coverage. The variability in effectiveness across different settings and populations highlights the need for context-specific strategies that consider local healthcare infrastructure, population demographics, behaviors, and cultural factors. Overall, these findings emphasize the need for continuous monitoring and adaptation of vaccination strategies to ensure they remain effective in a rapidly changing global health landscape. Future research should focus on exploring the reasons behind the variability in effectiveness across different settings and populations and developing more nuanced, tailored approaches that can be adapted to local contexts. More particularly, research should evaluate existing strategies, considering factors like cost-effectiveness, equity, acceptability, feasibility, and scalability in the relevant implementation contexts. These efforts may positively impact vaccination programs and move us closer to achieving global immunization goals.</w:t>
            </w:r>
          </w:p>
        </w:tc>
        <w:tc>
          <w:tcPr>
            <w:tcW w:w="1200" w:type="dxa"/>
            <w:tcBorders>
              <w:top w:val="single" w:sz="5" w:space="0" w:color="000000"/>
              <w:left w:val="single" w:sz="5" w:space="0" w:color="000000"/>
              <w:bottom w:val="single" w:sz="5" w:space="0" w:color="000000"/>
              <w:right w:val="single" w:sz="5" w:space="0" w:color="000000"/>
            </w:tcBorders>
          </w:tcPr>
          <w:p w14:paraId="6DA1A6C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57-58</w:t>
            </w:r>
          </w:p>
        </w:tc>
      </w:tr>
      <w:tr w:rsidR="00CF0B41" w14:paraId="4751D177" w14:textId="77777777" w:rsidTr="00C1274C">
        <w:trPr>
          <w:trHeight w:val="24"/>
        </w:trPr>
        <w:tc>
          <w:tcPr>
            <w:tcW w:w="1400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4298899" w14:textId="77777777" w:rsidR="00CF0B41" w:rsidRDefault="00CF0B41" w:rsidP="00C1274C">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OTHER INFORMATION</w:t>
            </w:r>
          </w:p>
        </w:tc>
        <w:tc>
          <w:tcPr>
            <w:tcW w:w="1200" w:type="dxa"/>
            <w:tcBorders>
              <w:top w:val="single" w:sz="5" w:space="0" w:color="000000"/>
              <w:left w:val="single" w:sz="5" w:space="0" w:color="000000"/>
              <w:bottom w:val="single" w:sz="5" w:space="0" w:color="000000"/>
              <w:right w:val="single" w:sz="5" w:space="0" w:color="000000"/>
            </w:tcBorders>
            <w:shd w:val="clear" w:color="auto" w:fill="FFFFCC"/>
          </w:tcPr>
          <w:p w14:paraId="686A0BC1" w14:textId="77777777" w:rsidR="00CF0B41" w:rsidRDefault="00CF0B41" w:rsidP="00C1274C">
            <w:pPr>
              <w:widowControl w:val="0"/>
              <w:pBdr>
                <w:top w:val="nil"/>
                <w:left w:val="nil"/>
                <w:bottom w:val="nil"/>
                <w:right w:val="nil"/>
                <w:between w:val="nil"/>
              </w:pBdr>
              <w:jc w:val="center"/>
              <w:rPr>
                <w:rFonts w:ascii="Arial" w:eastAsia="Arial" w:hAnsi="Arial" w:cs="Arial"/>
                <w:color w:val="000000"/>
                <w:sz w:val="18"/>
                <w:szCs w:val="18"/>
              </w:rPr>
            </w:pPr>
          </w:p>
        </w:tc>
      </w:tr>
      <w:tr w:rsidR="00CF0B41" w14:paraId="7D402044" w14:textId="77777777" w:rsidTr="00C1274C">
        <w:trPr>
          <w:trHeight w:val="48"/>
        </w:trPr>
        <w:tc>
          <w:tcPr>
            <w:tcW w:w="1668" w:type="dxa"/>
            <w:vMerge w:val="restart"/>
            <w:tcBorders>
              <w:top w:val="single" w:sz="5" w:space="0" w:color="000000"/>
              <w:left w:val="single" w:sz="5" w:space="0" w:color="000000"/>
              <w:right w:val="single" w:sz="5" w:space="0" w:color="000000"/>
            </w:tcBorders>
          </w:tcPr>
          <w:p w14:paraId="28DDA0B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96B6831"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0889063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The protocol for the review is registered in the international prospective register of systematic reviews, PROSPERO CRD42024509391.</w:t>
            </w:r>
          </w:p>
        </w:tc>
        <w:tc>
          <w:tcPr>
            <w:tcW w:w="1200" w:type="dxa"/>
            <w:tcBorders>
              <w:top w:val="single" w:sz="5" w:space="0" w:color="000000"/>
              <w:left w:val="single" w:sz="5" w:space="0" w:color="000000"/>
              <w:bottom w:val="single" w:sz="5" w:space="0" w:color="000000"/>
              <w:right w:val="single" w:sz="5" w:space="0" w:color="000000"/>
            </w:tcBorders>
          </w:tcPr>
          <w:p w14:paraId="0BC0C487"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w:t>
            </w:r>
          </w:p>
        </w:tc>
      </w:tr>
      <w:tr w:rsidR="00CF0B41" w14:paraId="2A857EAF" w14:textId="77777777" w:rsidTr="00C1274C">
        <w:trPr>
          <w:trHeight w:val="57"/>
        </w:trPr>
        <w:tc>
          <w:tcPr>
            <w:tcW w:w="1668" w:type="dxa"/>
            <w:vMerge/>
            <w:tcBorders>
              <w:top w:val="single" w:sz="5" w:space="0" w:color="000000"/>
              <w:left w:val="single" w:sz="5" w:space="0" w:color="000000"/>
              <w:right w:val="single" w:sz="5" w:space="0" w:color="000000"/>
            </w:tcBorders>
          </w:tcPr>
          <w:p w14:paraId="2022DDDF"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A66F94"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136A1E" w14:textId="77777777" w:rsidR="00CF0B41" w:rsidRDefault="00CF0B41" w:rsidP="00C1274C">
            <w:pPr>
              <w:widowControl w:val="0"/>
              <w:spacing w:before="40" w:after="40"/>
              <w:rPr>
                <w:rFonts w:ascii="Arial" w:eastAsia="Arial" w:hAnsi="Arial" w:cs="Arial"/>
                <w:sz w:val="18"/>
                <w:szCs w:val="18"/>
              </w:rPr>
            </w:pPr>
            <w:r>
              <w:rPr>
                <w:rFonts w:ascii="Arial" w:eastAsia="Arial" w:hAnsi="Arial" w:cs="Arial"/>
                <w:sz w:val="18"/>
                <w:szCs w:val="18"/>
              </w:rPr>
              <w:t>The protocol for the review is registered in the international prospective register of systematic reviews, PROSPERO CRD42024509391.</w:t>
            </w:r>
          </w:p>
        </w:tc>
        <w:tc>
          <w:tcPr>
            <w:tcW w:w="1200" w:type="dxa"/>
            <w:tcBorders>
              <w:top w:val="single" w:sz="5" w:space="0" w:color="000000"/>
              <w:left w:val="single" w:sz="5" w:space="0" w:color="000000"/>
              <w:bottom w:val="single" w:sz="5" w:space="0" w:color="000000"/>
              <w:right w:val="single" w:sz="5" w:space="0" w:color="000000"/>
            </w:tcBorders>
          </w:tcPr>
          <w:p w14:paraId="73DAC35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7</w:t>
            </w:r>
          </w:p>
        </w:tc>
      </w:tr>
      <w:tr w:rsidR="00CF0B41" w14:paraId="0465BB0A" w14:textId="77777777" w:rsidTr="00C1274C">
        <w:trPr>
          <w:trHeight w:val="48"/>
        </w:trPr>
        <w:tc>
          <w:tcPr>
            <w:tcW w:w="1668" w:type="dxa"/>
            <w:vMerge/>
            <w:tcBorders>
              <w:top w:val="single" w:sz="5" w:space="0" w:color="000000"/>
              <w:left w:val="single" w:sz="5" w:space="0" w:color="000000"/>
              <w:right w:val="single" w:sz="5" w:space="0" w:color="000000"/>
            </w:tcBorders>
          </w:tcPr>
          <w:p w14:paraId="5E59C688" w14:textId="77777777" w:rsidR="00CF0B41" w:rsidRDefault="00CF0B41" w:rsidP="00C1274C">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2229C5"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AA946A6" w14:textId="77777777" w:rsidR="00CF0B41" w:rsidRPr="000D5AA4"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sidRPr="000D5AA4">
              <w:rPr>
                <w:rFonts w:ascii="Arial" w:eastAsia="Arial" w:hAnsi="Arial" w:cs="Arial"/>
                <w:color w:val="000000"/>
                <w:sz w:val="18"/>
                <w:szCs w:val="18"/>
              </w:rPr>
              <w:t>The following changes were made from the protocol:</w:t>
            </w:r>
          </w:p>
          <w:p w14:paraId="4B085793" w14:textId="77777777" w:rsidR="00CF0B41" w:rsidRDefault="00CF0B41" w:rsidP="00C1274C">
            <w:pPr>
              <w:pStyle w:val="ListParagraph"/>
              <w:widowControl w:val="0"/>
              <w:numPr>
                <w:ilvl w:val="0"/>
                <w:numId w:val="1"/>
              </w:numPr>
              <w:pBdr>
                <w:top w:val="nil"/>
                <w:left w:val="nil"/>
                <w:bottom w:val="nil"/>
                <w:right w:val="nil"/>
                <w:between w:val="nil"/>
              </w:pBdr>
              <w:spacing w:before="40" w:after="40"/>
              <w:rPr>
                <w:rFonts w:ascii="Arial" w:eastAsia="Arial" w:hAnsi="Arial" w:cs="Arial"/>
                <w:color w:val="000000"/>
                <w:sz w:val="18"/>
                <w:szCs w:val="18"/>
              </w:rPr>
            </w:pPr>
            <w:r w:rsidRPr="000D5AA4">
              <w:rPr>
                <w:rFonts w:ascii="Arial" w:eastAsia="Arial" w:hAnsi="Arial" w:cs="Arial"/>
                <w:color w:val="000000"/>
                <w:sz w:val="18"/>
                <w:szCs w:val="18"/>
              </w:rPr>
              <w:t xml:space="preserve">The research question was revised to include ineffective strategies, ensuring a comprehensive analysis of both successful and unsuccessful approaches. </w:t>
            </w:r>
          </w:p>
          <w:p w14:paraId="1A147341" w14:textId="77777777" w:rsidR="00CF0B41" w:rsidRDefault="00CF0B41" w:rsidP="00C1274C">
            <w:pPr>
              <w:pStyle w:val="ListParagraph"/>
              <w:widowControl w:val="0"/>
              <w:numPr>
                <w:ilvl w:val="0"/>
                <w:numId w:val="1"/>
              </w:numPr>
              <w:pBdr>
                <w:top w:val="nil"/>
                <w:left w:val="nil"/>
                <w:bottom w:val="nil"/>
                <w:right w:val="nil"/>
                <w:between w:val="nil"/>
              </w:pBdr>
              <w:spacing w:before="40" w:after="40"/>
              <w:rPr>
                <w:rFonts w:ascii="Arial" w:eastAsia="Arial" w:hAnsi="Arial" w:cs="Arial"/>
                <w:color w:val="000000"/>
                <w:sz w:val="18"/>
                <w:szCs w:val="18"/>
              </w:rPr>
            </w:pPr>
            <w:r w:rsidRPr="000D5AA4">
              <w:rPr>
                <w:rFonts w:ascii="Arial" w:eastAsia="Arial" w:hAnsi="Arial" w:cs="Arial"/>
                <w:color w:val="000000"/>
                <w:sz w:val="18"/>
                <w:szCs w:val="18"/>
              </w:rPr>
              <w:t>The search strategy was adjusted</w:t>
            </w:r>
            <w:r>
              <w:rPr>
                <w:rFonts w:ascii="Arial" w:eastAsia="Arial" w:hAnsi="Arial" w:cs="Arial"/>
                <w:color w:val="000000"/>
                <w:sz w:val="18"/>
                <w:szCs w:val="18"/>
              </w:rPr>
              <w:t xml:space="preserve">: Instead of screening </w:t>
            </w:r>
            <w:r w:rsidRPr="000D5AA4">
              <w:rPr>
                <w:rFonts w:ascii="Arial" w:eastAsia="Arial" w:hAnsi="Arial" w:cs="Arial"/>
                <w:color w:val="000000"/>
                <w:sz w:val="18"/>
                <w:szCs w:val="18"/>
              </w:rPr>
              <w:t>pediatric journals,</w:t>
            </w:r>
            <w:r>
              <w:rPr>
                <w:rFonts w:ascii="Arial" w:eastAsia="Arial" w:hAnsi="Arial" w:cs="Arial"/>
                <w:color w:val="000000"/>
                <w:sz w:val="18"/>
                <w:szCs w:val="18"/>
              </w:rPr>
              <w:t xml:space="preserve"> </w:t>
            </w:r>
            <w:r w:rsidRPr="000D5AA4">
              <w:rPr>
                <w:rFonts w:ascii="Arial" w:eastAsia="Arial" w:hAnsi="Arial" w:cs="Arial"/>
                <w:color w:val="000000"/>
                <w:sz w:val="18"/>
                <w:szCs w:val="18"/>
              </w:rPr>
              <w:t>systematic review references, and ClinicalTrial</w:t>
            </w:r>
            <w:r>
              <w:rPr>
                <w:rFonts w:ascii="Arial" w:eastAsia="Arial" w:hAnsi="Arial" w:cs="Arial"/>
                <w:color w:val="000000"/>
                <w:sz w:val="18"/>
                <w:szCs w:val="18"/>
              </w:rPr>
              <w:t>s.gov,</w:t>
            </w:r>
            <w:r w:rsidRPr="000D5AA4">
              <w:rPr>
                <w:rFonts w:ascii="Arial" w:eastAsia="Arial" w:hAnsi="Arial" w:cs="Arial"/>
                <w:color w:val="000000"/>
                <w:sz w:val="18"/>
                <w:szCs w:val="18"/>
              </w:rPr>
              <w:t xml:space="preserve"> backward and forward citation searches were conducted, identifying 74 additional sources (48 unique after deduplication). </w:t>
            </w:r>
          </w:p>
          <w:p w14:paraId="1D9637B8" w14:textId="77777777" w:rsidR="00CF0B41" w:rsidRDefault="00CF0B41" w:rsidP="00C1274C">
            <w:pPr>
              <w:pStyle w:val="ListParagraph"/>
              <w:widowControl w:val="0"/>
              <w:numPr>
                <w:ilvl w:val="0"/>
                <w:numId w:val="1"/>
              </w:numPr>
              <w:pBdr>
                <w:top w:val="nil"/>
                <w:left w:val="nil"/>
                <w:bottom w:val="nil"/>
                <w:right w:val="nil"/>
                <w:between w:val="nil"/>
              </w:pBdr>
              <w:spacing w:before="40" w:after="40"/>
              <w:rPr>
                <w:rFonts w:ascii="Arial" w:eastAsia="Arial" w:hAnsi="Arial" w:cs="Arial"/>
                <w:color w:val="000000"/>
                <w:sz w:val="18"/>
                <w:szCs w:val="18"/>
              </w:rPr>
            </w:pPr>
            <w:r w:rsidRPr="000D5AA4">
              <w:rPr>
                <w:rFonts w:ascii="Arial" w:eastAsia="Arial" w:hAnsi="Arial" w:cs="Arial"/>
                <w:color w:val="000000"/>
                <w:sz w:val="18"/>
                <w:szCs w:val="18"/>
              </w:rPr>
              <w:t xml:space="preserve">The study design criteria were refined to include only experimental and quasi-experimental studies with a control or comparator and removed language restrictions to reduce bias. </w:t>
            </w:r>
          </w:p>
          <w:p w14:paraId="26E43CAD" w14:textId="77777777" w:rsidR="00CF0B41" w:rsidRPr="000D5AA4" w:rsidRDefault="00CF0B41" w:rsidP="00C1274C">
            <w:pPr>
              <w:pStyle w:val="ListParagraph"/>
              <w:widowControl w:val="0"/>
              <w:numPr>
                <w:ilvl w:val="0"/>
                <w:numId w:val="1"/>
              </w:numPr>
              <w:pBdr>
                <w:top w:val="nil"/>
                <w:left w:val="nil"/>
                <w:bottom w:val="nil"/>
                <w:right w:val="nil"/>
                <w:between w:val="nil"/>
              </w:pBdr>
              <w:spacing w:before="40" w:after="40"/>
              <w:rPr>
                <w:rFonts w:ascii="Arial" w:eastAsia="Arial" w:hAnsi="Arial" w:cs="Arial"/>
                <w:color w:val="000000"/>
                <w:sz w:val="18"/>
                <w:szCs w:val="18"/>
              </w:rPr>
            </w:pPr>
            <w:r w:rsidRPr="000D5AA4">
              <w:rPr>
                <w:rFonts w:ascii="Arial" w:eastAsia="Arial" w:hAnsi="Arial" w:cs="Arial"/>
                <w:color w:val="000000"/>
                <w:sz w:val="18"/>
                <w:szCs w:val="18"/>
              </w:rPr>
              <w:t>Lastly, the outcome of cost-effectiveness was not explored.</w:t>
            </w:r>
          </w:p>
        </w:tc>
        <w:tc>
          <w:tcPr>
            <w:tcW w:w="1200" w:type="dxa"/>
            <w:tcBorders>
              <w:top w:val="single" w:sz="5" w:space="0" w:color="000000"/>
              <w:left w:val="single" w:sz="5" w:space="0" w:color="000000"/>
              <w:bottom w:val="single" w:sz="5" w:space="0" w:color="000000"/>
              <w:right w:val="single" w:sz="5" w:space="0" w:color="000000"/>
            </w:tcBorders>
          </w:tcPr>
          <w:p w14:paraId="1CF8807B"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 xml:space="preserve">S2 </w:t>
            </w:r>
          </w:p>
        </w:tc>
      </w:tr>
      <w:tr w:rsidR="00CF0B41" w14:paraId="1805F5E7"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4DC525A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F4177C5"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D9C71B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No</w:t>
            </w:r>
            <w:r>
              <w:rPr>
                <w:rFonts w:ascii="Arial" w:eastAsia="Arial" w:hAnsi="Arial" w:cs="Arial"/>
                <w:color w:val="000000"/>
                <w:sz w:val="18"/>
                <w:szCs w:val="18"/>
              </w:rPr>
              <w:t xml:space="preserve"> sources of financial or non-financial support for the review, and </w:t>
            </w:r>
            <w:r>
              <w:rPr>
                <w:rFonts w:ascii="Arial" w:eastAsia="Arial" w:hAnsi="Arial" w:cs="Arial"/>
                <w:sz w:val="18"/>
                <w:szCs w:val="18"/>
              </w:rPr>
              <w:t>no</w:t>
            </w:r>
            <w:r>
              <w:rPr>
                <w:rFonts w:ascii="Arial" w:eastAsia="Arial" w:hAnsi="Arial" w:cs="Arial"/>
                <w:color w:val="000000"/>
                <w:sz w:val="18"/>
                <w:szCs w:val="18"/>
              </w:rPr>
              <w:t xml:space="preserv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5C37FAD"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58</w:t>
            </w:r>
          </w:p>
        </w:tc>
      </w:tr>
      <w:tr w:rsidR="00CF0B41" w14:paraId="112F26B2" w14:textId="77777777" w:rsidTr="00C1274C">
        <w:trPr>
          <w:trHeight w:val="48"/>
        </w:trPr>
        <w:tc>
          <w:tcPr>
            <w:tcW w:w="1668" w:type="dxa"/>
            <w:tcBorders>
              <w:top w:val="single" w:sz="5" w:space="0" w:color="000000"/>
              <w:left w:val="single" w:sz="5" w:space="0" w:color="000000"/>
              <w:bottom w:val="single" w:sz="5" w:space="0" w:color="000000"/>
              <w:right w:val="single" w:sz="5" w:space="0" w:color="000000"/>
            </w:tcBorders>
          </w:tcPr>
          <w:p w14:paraId="37B76188"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125643E"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2835D16"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No</w:t>
            </w:r>
            <w:r>
              <w:rPr>
                <w:rFonts w:ascii="Arial" w:eastAsia="Arial" w:hAnsi="Arial" w:cs="Arial"/>
                <w:color w:val="000000"/>
                <w:sz w:val="18"/>
                <w:szCs w:val="18"/>
              </w:rPr>
              <w:t xml:space="preserve">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4970888"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w:t>
            </w:r>
          </w:p>
        </w:tc>
      </w:tr>
      <w:tr w:rsidR="00CF0B41" w14:paraId="5A199FC4" w14:textId="77777777" w:rsidTr="00C1274C">
        <w:trPr>
          <w:trHeight w:val="219"/>
        </w:trPr>
        <w:tc>
          <w:tcPr>
            <w:tcW w:w="1668" w:type="dxa"/>
            <w:tcBorders>
              <w:top w:val="single" w:sz="5" w:space="0" w:color="000000"/>
              <w:left w:val="single" w:sz="5" w:space="0" w:color="000000"/>
              <w:bottom w:val="single" w:sz="5" w:space="0" w:color="000000"/>
              <w:right w:val="single" w:sz="5" w:space="0" w:color="000000"/>
            </w:tcBorders>
          </w:tcPr>
          <w:p w14:paraId="58EC339C"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14:paraId="7884C34E" w14:textId="77777777" w:rsidR="00CF0B41" w:rsidRDefault="00CF0B41" w:rsidP="00C1274C">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27</w:t>
            </w:r>
          </w:p>
        </w:tc>
        <w:tc>
          <w:tcPr>
            <w:tcW w:w="11745" w:type="dxa"/>
            <w:tcBorders>
              <w:top w:val="single" w:sz="5" w:space="0" w:color="000000"/>
              <w:left w:val="single" w:sz="5" w:space="0" w:color="000000"/>
              <w:bottom w:val="single" w:sz="5" w:space="0" w:color="000000"/>
              <w:right w:val="single" w:sz="5" w:space="0" w:color="000000"/>
            </w:tcBorders>
          </w:tcPr>
          <w:p w14:paraId="18458D29"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Any other meterials used in the review that are not presented in the review and its supplementary files may be available upon request. Please submit your request to the corresponding author, Meron Mengistu (mmengis2@uwo.ca)</w:t>
            </w:r>
          </w:p>
        </w:tc>
        <w:tc>
          <w:tcPr>
            <w:tcW w:w="1200" w:type="dxa"/>
            <w:tcBorders>
              <w:top w:val="single" w:sz="5" w:space="0" w:color="000000"/>
              <w:left w:val="single" w:sz="5" w:space="0" w:color="000000"/>
              <w:bottom w:val="single" w:sz="5" w:space="0" w:color="000000"/>
              <w:right w:val="single" w:sz="5" w:space="0" w:color="000000"/>
            </w:tcBorders>
          </w:tcPr>
          <w:p w14:paraId="3F452141" w14:textId="77777777" w:rsidR="00CF0B41" w:rsidRDefault="00CF0B41" w:rsidP="00C1274C">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w:t>
            </w:r>
          </w:p>
        </w:tc>
      </w:tr>
    </w:tbl>
    <w:p w14:paraId="24130449" w14:textId="77777777" w:rsidR="00CF0B41" w:rsidRDefault="00CF0B41" w:rsidP="00CF0B41">
      <w:pPr>
        <w:widowControl w:val="0"/>
        <w:pBdr>
          <w:top w:val="nil"/>
          <w:left w:val="nil"/>
          <w:bottom w:val="nil"/>
          <w:right w:val="nil"/>
          <w:between w:val="nil"/>
        </w:pBdr>
        <w:rPr>
          <w:rFonts w:ascii="Arial" w:eastAsia="Arial" w:hAnsi="Arial" w:cs="Arial"/>
          <w:color w:val="000000"/>
        </w:rPr>
      </w:pPr>
    </w:p>
    <w:p w14:paraId="08983572" w14:textId="77777777" w:rsidR="00CF0B41" w:rsidRDefault="00CF0B41" w:rsidP="00CF0B41">
      <w:pPr>
        <w:widowControl w:val="0"/>
        <w:pBdr>
          <w:top w:val="nil"/>
          <w:left w:val="nil"/>
          <w:bottom w:val="nil"/>
          <w:right w:val="nil"/>
          <w:between w:val="nil"/>
        </w:pBdr>
        <w:jc w:val="both"/>
        <w:rPr>
          <w:rFonts w:ascii="Arial" w:eastAsia="Arial" w:hAnsi="Arial" w:cs="Arial"/>
          <w:sz w:val="16"/>
          <w:szCs w:val="16"/>
        </w:rPr>
      </w:pPr>
      <w:bookmarkStart w:id="0" w:name="_heading=h.gjdgxs" w:colFirst="0" w:colLast="0"/>
      <w:bookmarkEnd w:id="0"/>
      <w:r>
        <w:rPr>
          <w:rFonts w:ascii="Arial" w:eastAsia="Arial" w:hAnsi="Arial" w:cs="Arial"/>
          <w:i/>
          <w:color w:val="000000"/>
          <w:sz w:val="16"/>
          <w:szCs w:val="16"/>
        </w:rPr>
        <w:t xml:space="preserve">From: </w:t>
      </w:r>
      <w:r>
        <w:rPr>
          <w:rFonts w:ascii="Arial" w:eastAsia="Arial" w:hAnsi="Arial" w:cs="Arial"/>
          <w:color w:val="000000"/>
          <w:sz w:val="16"/>
          <w:szCs w:val="16"/>
        </w:rPr>
        <w:t xml:space="preserve"> Page MJ, McKenzie JE, Bossuyt PM, Boutron I, Hoffmann TC, Mulrow CD, et al. The PRISMA 2020 statement: an updated guideline for reporting systematic reviews. BMJ 2021;372:n71. doi: 10.1136/bmj.n71</w:t>
      </w:r>
    </w:p>
    <w:p w14:paraId="60CDF7B8" w14:textId="77777777" w:rsidR="008165F0" w:rsidRDefault="008165F0"/>
    <w:sectPr w:rsidR="008165F0" w:rsidSect="00CF0B41">
      <w:headerReference w:type="default" r:id="rId5"/>
      <w:pgSz w:w="15840" w:h="12240" w:orient="landscape"/>
      <w:pgMar w:top="432" w:right="432" w:bottom="432"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361F" w14:textId="6AF3B669" w:rsidR="00CF0B41" w:rsidRDefault="00CF0B41">
    <w:pPr>
      <w:widowControl w:val="0"/>
      <w:pBdr>
        <w:top w:val="nil"/>
        <w:left w:val="nil"/>
        <w:bottom w:val="nil"/>
        <w:right w:val="nil"/>
        <w:between w:val="nil"/>
      </w:pBdr>
      <w:spacing w:after="373"/>
      <w:ind w:left="1080"/>
      <w:rPr>
        <w:rFonts w:ascii="Lucida Sans" w:eastAsia="Lucida Sans" w:hAnsi="Lucida Sans" w:cs="Lucida Sans"/>
        <w:color w:val="000000"/>
        <w:sz w:val="20"/>
        <w:szCs w:val="20"/>
      </w:rPr>
    </w:pPr>
    <w:r>
      <w:rPr>
        <w:rFonts w:ascii="Lucida Sans" w:eastAsia="Lucida Sans" w:hAnsi="Lucida Sans" w:cs="Lucida Sans"/>
        <w:b/>
        <w:color w:val="000000"/>
      </w:rPr>
      <w:t>PRISMA 2020 Checklist</w:t>
    </w:r>
    <w:r>
      <w:rPr>
        <w:noProof/>
      </w:rPr>
      <w:drawing>
        <wp:anchor distT="0" distB="0" distL="114300" distR="114300" simplePos="0" relativeHeight="251659264" behindDoc="0" locked="0" layoutInCell="1" allowOverlap="1" wp14:anchorId="5247107C" wp14:editId="277C69CD">
          <wp:simplePos x="0" y="0"/>
          <wp:positionH relativeFrom="margin">
            <wp:posOffset>-32385</wp:posOffset>
          </wp:positionH>
          <wp:positionV relativeFrom="paragraph">
            <wp:posOffset>-111760</wp:posOffset>
          </wp:positionV>
          <wp:extent cx="457200" cy="419100"/>
          <wp:effectExtent l="0" t="0" r="0" b="0"/>
          <wp:wrapNone/>
          <wp:docPr id="180221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8453D"/>
    <w:multiLevelType w:val="hybridMultilevel"/>
    <w:tmpl w:val="2A78B5D0"/>
    <w:lvl w:ilvl="0" w:tplc="7FEE5F16">
      <w:start w:val="1"/>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581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1"/>
    <w:rsid w:val="00446DAE"/>
    <w:rsid w:val="008165F0"/>
    <w:rsid w:val="00C22EA3"/>
    <w:rsid w:val="00CF0B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57060"/>
  <w15:chartTrackingRefBased/>
  <w15:docId w15:val="{E5A4A314-0802-4037-8B7C-6EEB4E77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41"/>
    <w:pPr>
      <w:spacing w:after="0" w:line="240" w:lineRule="auto"/>
    </w:pPr>
    <w:rPr>
      <w:rFonts w:ascii="Times New Roman" w:eastAsia="Times New Roman" w:hAnsi="Times New Roman" w:cs="Times New Roman"/>
      <w:kern w:val="0"/>
      <w:sz w:val="24"/>
      <w:szCs w:val="24"/>
      <w:lang w:eastAsia="en-CA"/>
      <w14:ligatures w14:val="none"/>
    </w:rPr>
  </w:style>
  <w:style w:type="paragraph" w:styleId="Heading1">
    <w:name w:val="heading 1"/>
    <w:basedOn w:val="Normal"/>
    <w:next w:val="Normal"/>
    <w:link w:val="Heading1Char"/>
    <w:uiPriority w:val="9"/>
    <w:qFormat/>
    <w:rsid w:val="00CF0B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B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B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B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B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B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B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B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B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B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B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B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B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B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B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B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B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B41"/>
    <w:rPr>
      <w:rFonts w:eastAsiaTheme="majorEastAsia" w:cstheme="majorBidi"/>
      <w:color w:val="272727" w:themeColor="text1" w:themeTint="D8"/>
    </w:rPr>
  </w:style>
  <w:style w:type="paragraph" w:styleId="Title">
    <w:name w:val="Title"/>
    <w:basedOn w:val="Normal"/>
    <w:next w:val="Normal"/>
    <w:link w:val="TitleChar"/>
    <w:uiPriority w:val="10"/>
    <w:qFormat/>
    <w:rsid w:val="00CF0B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B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B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B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B41"/>
    <w:pPr>
      <w:spacing w:before="160"/>
      <w:jc w:val="center"/>
    </w:pPr>
    <w:rPr>
      <w:i/>
      <w:iCs/>
      <w:color w:val="404040" w:themeColor="text1" w:themeTint="BF"/>
    </w:rPr>
  </w:style>
  <w:style w:type="character" w:customStyle="1" w:styleId="QuoteChar">
    <w:name w:val="Quote Char"/>
    <w:basedOn w:val="DefaultParagraphFont"/>
    <w:link w:val="Quote"/>
    <w:uiPriority w:val="29"/>
    <w:rsid w:val="00CF0B41"/>
    <w:rPr>
      <w:i/>
      <w:iCs/>
      <w:color w:val="404040" w:themeColor="text1" w:themeTint="BF"/>
    </w:rPr>
  </w:style>
  <w:style w:type="paragraph" w:styleId="ListParagraph">
    <w:name w:val="List Paragraph"/>
    <w:basedOn w:val="Normal"/>
    <w:uiPriority w:val="34"/>
    <w:qFormat/>
    <w:rsid w:val="00CF0B41"/>
    <w:pPr>
      <w:ind w:left="720"/>
      <w:contextualSpacing/>
    </w:pPr>
  </w:style>
  <w:style w:type="character" w:styleId="IntenseEmphasis">
    <w:name w:val="Intense Emphasis"/>
    <w:basedOn w:val="DefaultParagraphFont"/>
    <w:uiPriority w:val="21"/>
    <w:qFormat/>
    <w:rsid w:val="00CF0B41"/>
    <w:rPr>
      <w:i/>
      <w:iCs/>
      <w:color w:val="0F4761" w:themeColor="accent1" w:themeShade="BF"/>
    </w:rPr>
  </w:style>
  <w:style w:type="paragraph" w:styleId="IntenseQuote">
    <w:name w:val="Intense Quote"/>
    <w:basedOn w:val="Normal"/>
    <w:next w:val="Normal"/>
    <w:link w:val="IntenseQuoteChar"/>
    <w:uiPriority w:val="30"/>
    <w:qFormat/>
    <w:rsid w:val="00CF0B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B41"/>
    <w:rPr>
      <w:i/>
      <w:iCs/>
      <w:color w:val="0F4761" w:themeColor="accent1" w:themeShade="BF"/>
    </w:rPr>
  </w:style>
  <w:style w:type="character" w:styleId="IntenseReference">
    <w:name w:val="Intense Reference"/>
    <w:basedOn w:val="DefaultParagraphFont"/>
    <w:uiPriority w:val="32"/>
    <w:qFormat/>
    <w:rsid w:val="00CF0B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5468</Words>
  <Characters>32714</Characters>
  <Application>Microsoft Office Word</Application>
  <DocSecurity>0</DocSecurity>
  <Lines>465</Lines>
  <Paragraphs>190</Paragraphs>
  <ScaleCrop>false</ScaleCrop>
  <Company/>
  <LinksUpToDate>false</LinksUpToDate>
  <CharactersWithSpaces>38025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Meron Mengistu</dc:creator>
  <cp:keywords/>
  <dc:description/>
  <cp:lastModifiedBy>Meron Mengistu</cp:lastModifiedBy>
  <cp:revision>1</cp:revision>
  <dcterms:created xsi:type="dcterms:W3CDTF">2025-09-14T03:44:00Z</dcterms:created>
  <dcterms:modified xsi:type="dcterms:W3CDTF">2025-09-14T03:45:00Z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66ce7de4-fe89-4c32-814a-a6f488f4cbef</vt:lpwstr>
  </property>
</Properties>
</file>