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35092" w14:textId="403962F5" w:rsidR="00216A20" w:rsidRDefault="00216A20" w:rsidP="00216A20">
      <w:pPr>
        <w:pStyle w:val="NormalWeb"/>
        <w:rPr>
          <w:rStyle w:val="Strong"/>
          <w:rFonts w:eastAsiaTheme="majorEastAsia"/>
        </w:rPr>
      </w:pPr>
      <w:r w:rsidRPr="008C4443">
        <w:rPr>
          <w:rFonts w:ascii="Arial" w:hAnsi="Arial" w:cs="Arial"/>
          <w:noProof/>
          <w:color w:val="000000" w:themeColor="text1"/>
          <w:lang w:val="en-IN" w:eastAsia="en-IN"/>
          <w14:ligatures w14:val="standardContextual"/>
        </w:rPr>
        <w:drawing>
          <wp:inline distT="0" distB="0" distL="0" distR="0" wp14:anchorId="74961BB4" wp14:editId="486CA31B">
            <wp:extent cx="5943600" cy="2875915"/>
            <wp:effectExtent l="0" t="0" r="0" b="0"/>
            <wp:docPr id="1745154574" name="Picture 8" descr="A diagram of a health care system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154574" name="Picture 8" descr="A diagram of a health care system  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CA87DE1" w14:textId="138F0C30" w:rsidR="00216A20" w:rsidRDefault="00216A20" w:rsidP="00216A20">
      <w:pPr>
        <w:pStyle w:val="NormalWeb"/>
      </w:pPr>
      <w:r>
        <w:rPr>
          <w:rStyle w:val="Strong"/>
          <w:rFonts w:eastAsiaTheme="majorEastAsia"/>
        </w:rPr>
        <w:t>Supplementary Fig. S3. Research and monitoring roadmap for the UPF planetary nutrition nexus: measurement, causal inference, environmental accounting, policy evaluation, and equity-centered governance.</w:t>
      </w:r>
      <w:r>
        <w:t xml:space="preserve"> The figure outlines five linked priorities: (1) improved UPF exposure measurement and classification reproducibility, including documentation of decision rules and reliability; (2) stronger mental health causal inference using repeated measures designs and explicit mediation frameworks; (3) environmental footprint methods with transparent system boundaries and routine life-cycle stage decomposition; (4) policy evaluation designs that link interventions to exposure change and downstream outcomes beyond sales or nutrient profiles, including mental health indicators where feasible; and (5) equity-centered monitoring and governance using multi-domain indicator frameworks to reduce narrow metric fixation. The roadmap is intended to align research outputs with implementable monitoring systems that can track substitution pathways and potential co-benefits across the value chain.</w:t>
      </w:r>
    </w:p>
    <w:p w14:paraId="1E4D6B64" w14:textId="1EEA46BD" w:rsidR="00B5626D" w:rsidRPr="00216A20" w:rsidRDefault="00B5626D" w:rsidP="00216A20"/>
    <w:sectPr w:rsidR="00B5626D" w:rsidRPr="00216A20" w:rsidSect="008A3B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977"/>
    <w:rsid w:val="001D79B2"/>
    <w:rsid w:val="00216A20"/>
    <w:rsid w:val="007A51C9"/>
    <w:rsid w:val="007A661A"/>
    <w:rsid w:val="00882F25"/>
    <w:rsid w:val="008A3BAD"/>
    <w:rsid w:val="00925977"/>
    <w:rsid w:val="00A35721"/>
    <w:rsid w:val="00B5626D"/>
    <w:rsid w:val="00BB66B6"/>
    <w:rsid w:val="00EF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32BF2"/>
  <w15:chartTrackingRefBased/>
  <w15:docId w15:val="{726FEE1C-1C2D-4146-8AE4-783DAB951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79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1D79B2"/>
    <w:pPr>
      <w:outlineLvl w:val="1"/>
    </w:pPr>
    <w:rPr>
      <w:rFonts w:ascii="Century Gothic" w:hAnsi="Century Gothic"/>
      <w:b/>
      <w:bCs/>
      <w:color w:val="000000" w:themeColor="text1"/>
      <w:sz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5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5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5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5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5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5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5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D79B2"/>
    <w:rPr>
      <w:rFonts w:ascii="Century Gothic" w:eastAsiaTheme="majorEastAsia" w:hAnsi="Century Gothic" w:cstheme="majorBidi"/>
      <w:b/>
      <w:bCs/>
      <w:color w:val="000000" w:themeColor="text1"/>
      <w:sz w:val="36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1D79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925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59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59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59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59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59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59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5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5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5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5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5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59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59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59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5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59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597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25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259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Reuben Victor M. Laguitan</dc:creator>
  <cp:keywords/>
  <dc:description/>
  <cp:lastModifiedBy>Indhumathi S Sukumar K</cp:lastModifiedBy>
  <cp:revision>5</cp:revision>
  <dcterms:created xsi:type="dcterms:W3CDTF">2026-02-14T14:21:00Z</dcterms:created>
  <dcterms:modified xsi:type="dcterms:W3CDTF">2026-03-28T08:48:00Z</dcterms:modified>
</cp:coreProperties>
</file>