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1DF3" w:rsidRDefault="003A1DF3" w:rsidP="003A1DF3">
      <w:pPr>
        <w:spacing w:line="276" w:lineRule="auto"/>
        <w:jc w:val="both"/>
        <w:rPr>
          <w:rFonts w:ascii="Arial Unicode MS" w:hAnsi="Arial Unicode MS" w:cs="Arial Unicode MS"/>
          <w:b/>
          <w:bCs/>
        </w:rPr>
      </w:pPr>
      <w:r>
        <w:rPr>
          <w:rFonts w:ascii="Arial Unicode MS" w:cs="Arial Unicode MS"/>
          <w:b/>
          <w:bCs/>
        </w:rPr>
        <w:t>Supplementary File:</w:t>
      </w:r>
    </w:p>
    <w:p w:rsidR="003A1DF3" w:rsidRDefault="003A1DF3" w:rsidP="003A1DF3">
      <w:pPr>
        <w:spacing w:line="276" w:lineRule="auto"/>
        <w:jc w:val="both"/>
        <w:rPr>
          <w:rFonts w:ascii="Arial Unicode MS" w:hAnsi="Arial Unicode MS" w:cs="Arial Unicode MS"/>
        </w:rPr>
      </w:pPr>
      <w:r>
        <w:rPr>
          <w:rFonts w:ascii="Arial Unicode MS" w:cs="Arial Unicode MS"/>
        </w:rPr>
        <w:t>Definitions:</w:t>
      </w:r>
    </w:p>
    <w:p w:rsidR="003A1DF3" w:rsidRDefault="003A1DF3" w:rsidP="003A1DF3">
      <w:pPr>
        <w:spacing w:line="276" w:lineRule="auto"/>
        <w:jc w:val="both"/>
        <w:rPr>
          <w:rFonts w:ascii="Arial Unicode MS" w:hAnsi="Arial Unicode MS" w:cs="Arial Unicode MS"/>
          <w:b/>
          <w:bCs/>
        </w:rPr>
      </w:pPr>
      <w:r>
        <w:rPr>
          <w:rFonts w:ascii="Arial Unicode MS" w:cs="Arial Unicode MS"/>
          <w:b/>
          <w:bCs/>
        </w:rPr>
        <w:t>Total Health Expenditure (THE):</w:t>
      </w:r>
    </w:p>
    <w:p w:rsidR="003A1DF3" w:rsidRDefault="003A1DF3" w:rsidP="003A1DF3">
      <w:pPr>
        <w:spacing w:line="276" w:lineRule="auto"/>
        <w:jc w:val="both"/>
        <w:rPr>
          <w:rFonts w:ascii="Arial Unicode MS" w:hAnsi="Arial Unicode MS" w:cs="Arial Unicode MS"/>
        </w:rPr>
      </w:pPr>
      <w:r>
        <w:rPr>
          <w:rFonts w:ascii="Arial Unicode MS" w:cs="Arial Unicode MS"/>
        </w:rPr>
        <w:t xml:space="preserve">Total Health Expenditure was defined as the overall cost incurred by the household for delivery care. It included both direct medical and non-medical expenses as reported by the respondents. Direct medical expenses comprised consultation fees, medicines, operation theatre charges, diagnostics, and hospital stay. Non-medical expenses included transportation, food, accommodation for caregivers etc., </w:t>
      </w:r>
      <w:proofErr w:type="gramStart"/>
      <w:r>
        <w:rPr>
          <w:rFonts w:ascii="Arial Unicode MS" w:cs="Arial Unicode MS"/>
        </w:rPr>
        <w:t>Indirect</w:t>
      </w:r>
      <w:proofErr w:type="gramEnd"/>
      <w:r>
        <w:rPr>
          <w:rFonts w:ascii="Arial Unicode MS" w:cs="Arial Unicode MS"/>
        </w:rPr>
        <w:t xml:space="preserve"> expenses included wage loss, and other incidental costs related to accessing care.</w:t>
      </w:r>
    </w:p>
    <w:p w:rsidR="003A1DF3" w:rsidRDefault="003A1DF3" w:rsidP="003A1DF3">
      <w:pPr>
        <w:spacing w:line="276" w:lineRule="auto"/>
        <w:jc w:val="both"/>
        <w:rPr>
          <w:rFonts w:ascii="Arial Unicode MS" w:hAnsi="Arial Unicode MS" w:cs="Arial Unicode MS"/>
          <w:b/>
          <w:bCs/>
        </w:rPr>
      </w:pPr>
      <w:r>
        <w:rPr>
          <w:rFonts w:ascii="Arial Unicode MS" w:cs="Arial Unicode MS"/>
          <w:b/>
          <w:bCs/>
        </w:rPr>
        <w:t>Out-of-Pocket Health Expenditure (OOPHE):</w:t>
      </w:r>
    </w:p>
    <w:p w:rsidR="003A1DF3" w:rsidRDefault="003A1DF3" w:rsidP="003A1DF3">
      <w:pPr>
        <w:spacing w:line="276" w:lineRule="auto"/>
        <w:jc w:val="both"/>
        <w:rPr>
          <w:rFonts w:ascii="Arial Unicode MS" w:hAnsi="Arial Unicode MS" w:cs="Arial Unicode MS"/>
        </w:rPr>
      </w:pPr>
      <w:r>
        <w:rPr>
          <w:rFonts w:ascii="Arial Unicode MS" w:cs="Arial Unicode MS"/>
        </w:rPr>
        <w:t>Out-of-Pocket Health Expenditure was defined as the net amount paid by households for delivery care after accounting for any reimbursements received from insurance or other sources. It was calculated as the total health expenditure minus any reimbursements.</w:t>
      </w:r>
    </w:p>
    <w:p w:rsidR="003A1DF3" w:rsidRDefault="003A1DF3" w:rsidP="003A1DF3">
      <w:pPr>
        <w:spacing w:line="276" w:lineRule="auto"/>
        <w:jc w:val="both"/>
        <w:rPr>
          <w:rFonts w:ascii="Arial Unicode MS" w:hAnsi="Arial Unicode MS" w:cs="Arial Unicode MS"/>
          <w:b/>
          <w:bCs/>
        </w:rPr>
      </w:pPr>
      <w:r>
        <w:rPr>
          <w:rFonts w:ascii="Arial Unicode MS" w:cs="Arial Unicode MS"/>
          <w:b/>
          <w:bCs/>
        </w:rPr>
        <w:t>Catastrophic Health Expenditure (CHE):</w:t>
      </w:r>
    </w:p>
    <w:p w:rsidR="003A1DF3" w:rsidRDefault="003A1DF3" w:rsidP="003A1DF3">
      <w:pPr>
        <w:spacing w:line="276" w:lineRule="auto"/>
        <w:jc w:val="both"/>
        <w:rPr>
          <w:rFonts w:ascii="Arial Unicode MS" w:hAnsi="Arial Unicode MS" w:cs="Arial Unicode MS"/>
        </w:rPr>
      </w:pPr>
      <w:r>
        <w:rPr>
          <w:rFonts w:ascii="Arial Unicode MS" w:cs="Arial Unicode MS"/>
        </w:rPr>
        <w:t>Catastrophic Health Expenditure was defined as the financial burden experienced by households when out-of-pocket expenditure on delivery exceeded a specified proportion of their total annual household income. Two thresholds were applied:</w:t>
      </w:r>
    </w:p>
    <w:p w:rsidR="003A1DF3" w:rsidRDefault="003A1DF3" w:rsidP="003A1DF3">
      <w:pPr>
        <w:spacing w:line="276" w:lineRule="auto"/>
        <w:jc w:val="both"/>
        <w:rPr>
          <w:rFonts w:ascii="Arial Unicode MS" w:hAnsi="Arial Unicode MS" w:cs="Arial Unicode MS"/>
        </w:rPr>
      </w:pPr>
      <w:r>
        <w:rPr>
          <w:rFonts w:ascii="Arial Unicode MS" w:cs="Arial Unicode MS"/>
        </w:rPr>
        <w:t>At the 10% threshold, households spending 10% or more of their total annual household income were classified as experiencing catastrophic expenditure (coded as 1), while those spending less than 10% were classified as non-catastrophic (coded as 0).</w:t>
      </w:r>
    </w:p>
    <w:p w:rsidR="003A1DF3" w:rsidRDefault="003A1DF3" w:rsidP="003A1DF3">
      <w:pPr>
        <w:spacing w:line="276" w:lineRule="auto"/>
        <w:jc w:val="both"/>
        <w:rPr>
          <w:rFonts w:ascii="Arial Unicode MS" w:hAnsi="Arial Unicode MS" w:cs="Arial Unicode MS"/>
        </w:rPr>
      </w:pPr>
      <w:r>
        <w:rPr>
          <w:rFonts w:ascii="Arial Unicode MS" w:cs="Arial Unicode MS"/>
        </w:rPr>
        <w:t>At the 25% threshold, households spending 25% or more were classified as catastrophic (coded as 1), while those spending below 25% were classified as non-catastrophic (coded as 0).</w:t>
      </w:r>
    </w:p>
    <w:p w:rsidR="003A1DF3" w:rsidRDefault="003A1DF3" w:rsidP="003A1DF3">
      <w:pPr>
        <w:spacing w:line="276" w:lineRule="auto"/>
        <w:jc w:val="both"/>
        <w:rPr>
          <w:rFonts w:ascii="Arial Unicode MS" w:hAnsi="Arial Unicode MS" w:cs="Arial Unicode MS"/>
        </w:rPr>
      </w:pPr>
      <w:r>
        <w:rPr>
          <w:rFonts w:ascii="Arial Unicode MS" w:cs="Arial Unicode MS"/>
        </w:rPr>
        <w:t>These thresholds are widely used in global and national analyses to capture different levels of financial risk, with the 10% threshold indicating early financial stress and the 25% threshold reflecting a more severe economic burden on households.</w:t>
      </w:r>
    </w:p>
    <w:p w:rsidR="008C19A5" w:rsidRDefault="008C19A5">
      <w:bookmarkStart w:id="0" w:name="_GoBack"/>
      <w:bookmarkEnd w:id="0"/>
    </w:p>
    <w:sectPr w:rsidR="008C19A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DF3"/>
    <w:rsid w:val="00185966"/>
    <w:rsid w:val="003A1DF3"/>
    <w:rsid w:val="007B0D81"/>
    <w:rsid w:val="008C19A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EF9E1C-9FBB-48F9-9B67-218B1CA40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270</Words>
  <Characters>1543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Victor,Maria Flora</dc:creator>
  <cp:keywords/>
  <dc:description/>
  <cp:lastModifiedBy>Victor,Maria Flora</cp:lastModifiedBy>
  <cp:revision>1</cp:revision>
  <dcterms:created xsi:type="dcterms:W3CDTF">2026-05-15T15:31:00Z</dcterms:created>
  <dcterms:modified xsi:type="dcterms:W3CDTF">2026-05-15T15:32:00Z</dcterms:modified>
</cp:coreProperties>
</file>