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CA316" w14:textId="46F511A9" w:rsidR="00637216" w:rsidRPr="00CC329A" w:rsidRDefault="00CC329A" w:rsidP="00CC329A">
      <w:pPr>
        <w:jc w:val="center"/>
        <w:rPr>
          <w:rFonts w:asciiTheme="majorBidi" w:hAnsiTheme="majorBidi" w:cstheme="majorBidi"/>
          <w:b/>
          <w:bCs/>
          <w:sz w:val="32"/>
          <w:szCs w:val="32"/>
          <w:lang w:val="en-US"/>
        </w:rPr>
      </w:pPr>
      <w:r w:rsidRPr="00CC329A">
        <w:rPr>
          <w:rFonts w:asciiTheme="majorBidi" w:hAnsiTheme="majorBidi" w:cstheme="majorBidi"/>
          <w:b/>
          <w:bCs/>
          <w:sz w:val="32"/>
          <w:szCs w:val="32"/>
          <w:lang w:val="en-US"/>
        </w:rPr>
        <w:t>Supplementary Table S1. Detailed characteristics of the included studies</w:t>
      </w:r>
    </w:p>
    <w:tbl>
      <w:tblPr>
        <w:tblStyle w:val="Grilledutableau"/>
        <w:tblpPr w:leftFromText="141" w:rightFromText="141" w:horzAnchor="margin" w:tblpY="1020"/>
        <w:tblW w:w="0" w:type="auto"/>
        <w:tblLook w:val="04A0" w:firstRow="1" w:lastRow="0" w:firstColumn="1" w:lastColumn="0" w:noHBand="0" w:noVBand="1"/>
      </w:tblPr>
      <w:tblGrid>
        <w:gridCol w:w="891"/>
        <w:gridCol w:w="938"/>
        <w:gridCol w:w="1142"/>
        <w:gridCol w:w="1267"/>
        <w:gridCol w:w="969"/>
        <w:gridCol w:w="1079"/>
        <w:gridCol w:w="1597"/>
        <w:gridCol w:w="1179"/>
      </w:tblGrid>
      <w:tr w:rsidR="00CC329A" w:rsidRPr="0090725D" w14:paraId="2250CA98" w14:textId="77777777" w:rsidTr="004A7CF0">
        <w:tc>
          <w:tcPr>
            <w:tcW w:w="0" w:type="auto"/>
            <w:hideMark/>
          </w:tcPr>
          <w:p w14:paraId="7E8A3F92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Author(s) – year</w:t>
            </w:r>
          </w:p>
        </w:tc>
        <w:tc>
          <w:tcPr>
            <w:tcW w:w="0" w:type="auto"/>
            <w:hideMark/>
          </w:tcPr>
          <w:p w14:paraId="18B5C179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Country / region</w:t>
            </w:r>
          </w:p>
        </w:tc>
        <w:tc>
          <w:tcPr>
            <w:tcW w:w="0" w:type="auto"/>
            <w:hideMark/>
          </w:tcPr>
          <w:p w14:paraId="0FCBF522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Study type</w:t>
            </w:r>
          </w:p>
        </w:tc>
        <w:tc>
          <w:tcPr>
            <w:tcW w:w="0" w:type="auto"/>
            <w:hideMark/>
          </w:tcPr>
          <w:p w14:paraId="1E87D958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Data source</w:t>
            </w:r>
          </w:p>
        </w:tc>
        <w:tc>
          <w:tcPr>
            <w:tcW w:w="0" w:type="auto"/>
            <w:hideMark/>
          </w:tcPr>
          <w:p w14:paraId="5CA9BD17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Study population</w:t>
            </w:r>
          </w:p>
        </w:tc>
        <w:tc>
          <w:tcPr>
            <w:tcW w:w="0" w:type="auto"/>
            <w:hideMark/>
          </w:tcPr>
          <w:p w14:paraId="76C7F711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Health indicators</w:t>
            </w:r>
          </w:p>
        </w:tc>
        <w:tc>
          <w:tcPr>
            <w:tcW w:w="0" w:type="auto"/>
            <w:hideMark/>
          </w:tcPr>
          <w:p w14:paraId="705E2D9A" w14:textId="77777777" w:rsidR="00CC329A" w:rsidRPr="00C20CD8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C20CD8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Poverty / vulnerability indicators</w:t>
            </w:r>
          </w:p>
        </w:tc>
        <w:tc>
          <w:tcPr>
            <w:tcW w:w="0" w:type="auto"/>
            <w:hideMark/>
          </w:tcPr>
          <w:p w14:paraId="68085279" w14:textId="77777777" w:rsidR="00CC329A" w:rsidRPr="00C20CD8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C20CD8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Main mechanism analysed</w:t>
            </w:r>
          </w:p>
        </w:tc>
      </w:tr>
      <w:tr w:rsidR="00CC329A" w:rsidRPr="00F21A32" w14:paraId="20B727CA" w14:textId="77777777" w:rsidTr="004A7CF0">
        <w:tc>
          <w:tcPr>
            <w:tcW w:w="0" w:type="auto"/>
            <w:hideMark/>
          </w:tcPr>
          <w:p w14:paraId="1078EC82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Wagstaff A., van Doorslaer E. (2003)</w:t>
            </w:r>
          </w:p>
        </w:tc>
        <w:tc>
          <w:tcPr>
            <w:tcW w:w="0" w:type="auto"/>
            <w:hideMark/>
          </w:tcPr>
          <w:p w14:paraId="0A15EF0D" w14:textId="3E48711F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Vietnam (1993</w:t>
            </w:r>
            <w:r w:rsidR="00A11EAB">
              <w:rPr>
                <w:rFonts w:asciiTheme="majorBidi" w:hAnsiTheme="majorBidi" w:cstheme="majorBidi"/>
                <w:sz w:val="18"/>
                <w:szCs w:val="18"/>
              </w:rPr>
              <w:t>-</w:t>
            </w:r>
            <w:r w:rsidRPr="0090725D">
              <w:rPr>
                <w:rFonts w:asciiTheme="majorBidi" w:hAnsiTheme="majorBidi" w:cstheme="majorBidi"/>
                <w:sz w:val="18"/>
                <w:szCs w:val="18"/>
              </w:rPr>
              <w:t>1998)</w:t>
            </w:r>
          </w:p>
        </w:tc>
        <w:tc>
          <w:tcPr>
            <w:tcW w:w="0" w:type="auto"/>
            <w:hideMark/>
          </w:tcPr>
          <w:p w14:paraId="06808591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Quantitative</w:t>
            </w:r>
          </w:p>
        </w:tc>
        <w:tc>
          <w:tcPr>
            <w:tcW w:w="0" w:type="auto"/>
            <w:hideMark/>
          </w:tcPr>
          <w:p w14:paraId="0B90B5DD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Household surveys – out-of-pocket payment data</w:t>
            </w:r>
          </w:p>
        </w:tc>
        <w:tc>
          <w:tcPr>
            <w:tcW w:w="0" w:type="auto"/>
            <w:hideMark/>
          </w:tcPr>
          <w:p w14:paraId="499D9CE0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Households</w:t>
            </w:r>
          </w:p>
        </w:tc>
        <w:tc>
          <w:tcPr>
            <w:tcW w:w="0" w:type="auto"/>
            <w:hideMark/>
          </w:tcPr>
          <w:p w14:paraId="3E98230E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Health care utilisation (out-of-pocket health expenditures, including inpatient and outpatient care)</w:t>
            </w:r>
          </w:p>
        </w:tc>
        <w:tc>
          <w:tcPr>
            <w:tcW w:w="0" w:type="auto"/>
            <w:hideMark/>
          </w:tcPr>
          <w:p w14:paraId="6D859637" w14:textId="77777777" w:rsidR="00CC329A" w:rsidRPr="00C20CD8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Catastrophic health expenditures (incidence &amp; intensity); impoverishment due to out-of-pocket payments (incidence &amp; intensity)</w:t>
            </w:r>
          </w:p>
        </w:tc>
        <w:tc>
          <w:tcPr>
            <w:tcW w:w="0" w:type="auto"/>
            <w:hideMark/>
          </w:tcPr>
          <w:p w14:paraId="38E0BCC8" w14:textId="5CEE143E" w:rsidR="00CC329A" w:rsidRPr="00C20CD8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(</w:t>
            </w:r>
            <w:r w:rsidR="00A11EAB"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a</w:t>
            </w: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) Unanticipated / catastrophic health expenditures → impoverishment</w:t>
            </w:r>
          </w:p>
        </w:tc>
      </w:tr>
      <w:tr w:rsidR="00CC329A" w:rsidRPr="00F21A32" w14:paraId="35CFABB7" w14:textId="77777777" w:rsidTr="004A7CF0">
        <w:tc>
          <w:tcPr>
            <w:tcW w:w="0" w:type="auto"/>
            <w:hideMark/>
          </w:tcPr>
          <w:p w14:paraId="2D7E2FC6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Quintussi M. et al. (2015)</w:t>
            </w:r>
          </w:p>
        </w:tc>
        <w:tc>
          <w:tcPr>
            <w:tcW w:w="0" w:type="auto"/>
            <w:hideMark/>
          </w:tcPr>
          <w:p w14:paraId="5CFB8C08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India (rural northern areas: Uttar Pradesh and Bihar)</w:t>
            </w:r>
          </w:p>
        </w:tc>
        <w:tc>
          <w:tcPr>
            <w:tcW w:w="0" w:type="auto"/>
            <w:hideMark/>
          </w:tcPr>
          <w:p w14:paraId="3937E539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Quantitative (cross-sectional survey)</w:t>
            </w:r>
          </w:p>
        </w:tc>
        <w:tc>
          <w:tcPr>
            <w:tcW w:w="0" w:type="auto"/>
            <w:hideMark/>
          </w:tcPr>
          <w:p w14:paraId="30619F23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Household survey with “shock” module (2010)</w:t>
            </w:r>
          </w:p>
        </w:tc>
        <w:tc>
          <w:tcPr>
            <w:tcW w:w="0" w:type="auto"/>
            <w:hideMark/>
          </w:tcPr>
          <w:p w14:paraId="2C22DCFB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Rural households (n = 5,241)</w:t>
            </w:r>
          </w:p>
        </w:tc>
        <w:tc>
          <w:tcPr>
            <w:tcW w:w="0" w:type="auto"/>
            <w:hideMark/>
          </w:tcPr>
          <w:p w14:paraId="508445CD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Illness episodes; chronic conditions; health care utilisation; out-of-pocket medical expenditures</w:t>
            </w:r>
          </w:p>
        </w:tc>
        <w:tc>
          <w:tcPr>
            <w:tcW w:w="0" w:type="auto"/>
            <w:hideMark/>
          </w:tcPr>
          <w:p w14:paraId="7D76A149" w14:textId="77777777" w:rsidR="00CC329A" w:rsidRPr="00C20CD8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Direct health expenditures; indirect costs (income loss, transport, food); coping strategies (dissaving, borrowing, asset sales)</w:t>
            </w:r>
          </w:p>
        </w:tc>
        <w:tc>
          <w:tcPr>
            <w:tcW w:w="0" w:type="auto"/>
            <w:hideMark/>
          </w:tcPr>
          <w:p w14:paraId="4B16693A" w14:textId="5384E20A" w:rsidR="00CC329A" w:rsidRPr="00C20CD8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(</w:t>
            </w:r>
            <w:r w:rsidR="00A11EAB"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a</w:t>
            </w: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) Health expenditures → economic vulnerability and (</w:t>
            </w:r>
            <w:r w:rsidR="00A11EAB"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b</w:t>
            </w: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) Illness → income loss</w:t>
            </w:r>
          </w:p>
        </w:tc>
      </w:tr>
      <w:tr w:rsidR="00CC329A" w:rsidRPr="00F21A32" w14:paraId="4A08E72E" w14:textId="77777777" w:rsidTr="004A7CF0">
        <w:tc>
          <w:tcPr>
            <w:tcW w:w="0" w:type="auto"/>
            <w:hideMark/>
          </w:tcPr>
          <w:p w14:paraId="7AFB568E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Dhanaraj S. (2016)</w:t>
            </w:r>
          </w:p>
        </w:tc>
        <w:tc>
          <w:tcPr>
            <w:tcW w:w="0" w:type="auto"/>
            <w:hideMark/>
          </w:tcPr>
          <w:p w14:paraId="173485F1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India (Andhra Pradesh)</w:t>
            </w:r>
          </w:p>
        </w:tc>
        <w:tc>
          <w:tcPr>
            <w:tcW w:w="0" w:type="auto"/>
            <w:hideMark/>
          </w:tcPr>
          <w:p w14:paraId="550327DF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Quantitative (longitudinal analysis; multilevel logistic models)</w:t>
            </w:r>
          </w:p>
        </w:tc>
        <w:tc>
          <w:tcPr>
            <w:tcW w:w="0" w:type="auto"/>
            <w:hideMark/>
          </w:tcPr>
          <w:p w14:paraId="751D6E20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Young Lives longitudinal survey (self-reported health shocks and coping strategies)</w:t>
            </w:r>
          </w:p>
        </w:tc>
        <w:tc>
          <w:tcPr>
            <w:tcW w:w="0" w:type="auto"/>
            <w:hideMark/>
          </w:tcPr>
          <w:p w14:paraId="0516B2D8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Households</w:t>
            </w:r>
          </w:p>
        </w:tc>
        <w:tc>
          <w:tcPr>
            <w:tcW w:w="0" w:type="auto"/>
            <w:hideMark/>
          </w:tcPr>
          <w:p w14:paraId="52D7CDA0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Self-reported health shocks; illness-related disability (particularly of the main income earner)</w:t>
            </w:r>
          </w:p>
        </w:tc>
        <w:tc>
          <w:tcPr>
            <w:tcW w:w="0" w:type="auto"/>
            <w:hideMark/>
          </w:tcPr>
          <w:p w14:paraId="3BF86611" w14:textId="77777777" w:rsidR="00CC329A" w:rsidRPr="00C20CD8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Economic vulnerability; welfare loss; coping strategies (borrowing, reduced consumption, child labour)</w:t>
            </w:r>
          </w:p>
        </w:tc>
        <w:tc>
          <w:tcPr>
            <w:tcW w:w="0" w:type="auto"/>
            <w:hideMark/>
          </w:tcPr>
          <w:p w14:paraId="43706614" w14:textId="62FED2A1" w:rsidR="00CC329A" w:rsidRPr="00C20CD8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(</w:t>
            </w:r>
            <w:r w:rsidR="00A11EAB"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a</w:t>
            </w: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) Health expenditures → economic vulnerability and (</w:t>
            </w:r>
            <w:r w:rsidR="00A11EAB"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b</w:t>
            </w: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) Illness → income loss</w:t>
            </w:r>
          </w:p>
        </w:tc>
      </w:tr>
      <w:tr w:rsidR="00CC329A" w:rsidRPr="00F21A32" w14:paraId="55FB1B9C" w14:textId="77777777" w:rsidTr="004A7CF0">
        <w:tc>
          <w:tcPr>
            <w:tcW w:w="0" w:type="auto"/>
            <w:hideMark/>
          </w:tcPr>
          <w:p w14:paraId="5299A85A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Rahman T. et al. (2022)</w:t>
            </w:r>
          </w:p>
        </w:tc>
        <w:tc>
          <w:tcPr>
            <w:tcW w:w="0" w:type="auto"/>
            <w:hideMark/>
          </w:tcPr>
          <w:p w14:paraId="6BDC59F6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Low- and middle-income countries (LMICs)</w:t>
            </w:r>
          </w:p>
        </w:tc>
        <w:tc>
          <w:tcPr>
            <w:tcW w:w="0" w:type="auto"/>
            <w:hideMark/>
          </w:tcPr>
          <w:p w14:paraId="7F742754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PRISMA-2020-compliant scoping review</w:t>
            </w:r>
          </w:p>
        </w:tc>
        <w:tc>
          <w:tcPr>
            <w:tcW w:w="0" w:type="auto"/>
            <w:hideMark/>
          </w:tcPr>
          <w:p w14:paraId="2615B030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Empirical studies based on national household surveys (155 studies included)</w:t>
            </w:r>
          </w:p>
        </w:tc>
        <w:tc>
          <w:tcPr>
            <w:tcW w:w="0" w:type="auto"/>
            <w:hideMark/>
          </w:tcPr>
          <w:p w14:paraId="2914DFDB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Households (as defined in included studies)</w:t>
            </w:r>
          </w:p>
        </w:tc>
        <w:tc>
          <w:tcPr>
            <w:tcW w:w="0" w:type="auto"/>
            <w:hideMark/>
          </w:tcPr>
          <w:p w14:paraId="20DC93CD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Health care utilisation; illness (all causes, chronic diseases, communicable diseases), depending on studies</w:t>
            </w:r>
          </w:p>
        </w:tc>
        <w:tc>
          <w:tcPr>
            <w:tcW w:w="0" w:type="auto"/>
            <w:hideMark/>
          </w:tcPr>
          <w:p w14:paraId="491EDEA3" w14:textId="77777777" w:rsidR="00CC329A" w:rsidRPr="00C20CD8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Catastrophic health expenditures; impoverishment; coping strategies; forgone care for financial reasons</w:t>
            </w:r>
          </w:p>
        </w:tc>
        <w:tc>
          <w:tcPr>
            <w:tcW w:w="0" w:type="auto"/>
            <w:hideMark/>
          </w:tcPr>
          <w:p w14:paraId="404FF1C6" w14:textId="7F4AEA77" w:rsidR="00CC329A" w:rsidRPr="00C20CD8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(</w:t>
            </w:r>
            <w:r w:rsidR="00A11EAB"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a</w:t>
            </w: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) Out-of-pocket health expenditures → financial risk / impoverishment</w:t>
            </w:r>
          </w:p>
        </w:tc>
      </w:tr>
      <w:tr w:rsidR="00CC329A" w:rsidRPr="00F21A32" w14:paraId="71A92101" w14:textId="77777777" w:rsidTr="004A7CF0">
        <w:tc>
          <w:tcPr>
            <w:tcW w:w="0" w:type="auto"/>
            <w:hideMark/>
          </w:tcPr>
          <w:p w14:paraId="1D5F11FB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Bonfrer I., </w:t>
            </w: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lastRenderedPageBreak/>
              <w:t>Gustafsson-Wright E. (2017)</w:t>
            </w:r>
          </w:p>
        </w:tc>
        <w:tc>
          <w:tcPr>
            <w:tcW w:w="0" w:type="auto"/>
            <w:hideMark/>
          </w:tcPr>
          <w:p w14:paraId="634189A5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lastRenderedPageBreak/>
              <w:t xml:space="preserve">Kenya (rural </w:t>
            </w:r>
            <w:r w:rsidRPr="0090725D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agricultural households)</w:t>
            </w:r>
          </w:p>
        </w:tc>
        <w:tc>
          <w:tcPr>
            <w:tcW w:w="0" w:type="auto"/>
            <w:hideMark/>
          </w:tcPr>
          <w:p w14:paraId="644A795F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Quantitative (cross-</w:t>
            </w:r>
            <w:r w:rsidRPr="0090725D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sectional survey, regression analysis)</w:t>
            </w:r>
          </w:p>
        </w:tc>
        <w:tc>
          <w:tcPr>
            <w:tcW w:w="0" w:type="auto"/>
            <w:hideMark/>
          </w:tcPr>
          <w:p w14:paraId="181F2A13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lastRenderedPageBreak/>
              <w:t xml:space="preserve">Household survey of </w:t>
            </w: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lastRenderedPageBreak/>
              <w:t>1,226 agricultural households (selected through dairy cooperatives)</w:t>
            </w:r>
          </w:p>
        </w:tc>
        <w:tc>
          <w:tcPr>
            <w:tcW w:w="0" w:type="auto"/>
            <w:hideMark/>
          </w:tcPr>
          <w:p w14:paraId="7E9DD857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lastRenderedPageBreak/>
              <w:t xml:space="preserve">Rural farming </w:t>
            </w:r>
            <w:r w:rsidRPr="0090725D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households</w:t>
            </w:r>
          </w:p>
        </w:tc>
        <w:tc>
          <w:tcPr>
            <w:tcW w:w="0" w:type="auto"/>
            <w:hideMark/>
          </w:tcPr>
          <w:p w14:paraId="08817FB7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lastRenderedPageBreak/>
              <w:t xml:space="preserve">Health shocks </w:t>
            </w: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lastRenderedPageBreak/>
              <w:t>(illness or injury); forgone care</w:t>
            </w:r>
          </w:p>
        </w:tc>
        <w:tc>
          <w:tcPr>
            <w:tcW w:w="0" w:type="auto"/>
            <w:hideMark/>
          </w:tcPr>
          <w:p w14:paraId="6B0D3791" w14:textId="77777777" w:rsidR="00CC329A" w:rsidRPr="00C20CD8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lastRenderedPageBreak/>
              <w:t xml:space="preserve">Catastrophic health </w:t>
            </w: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lastRenderedPageBreak/>
              <w:t>expenditures (≈2% of households); financial coping strategies (savings use, asset sales, borrowing/transfers); forgone care for financial reasons</w:t>
            </w:r>
          </w:p>
        </w:tc>
        <w:tc>
          <w:tcPr>
            <w:tcW w:w="0" w:type="auto"/>
            <w:hideMark/>
          </w:tcPr>
          <w:p w14:paraId="75199655" w14:textId="61121D2B" w:rsidR="00CC329A" w:rsidRPr="00C20CD8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lastRenderedPageBreak/>
              <w:t>(</w:t>
            </w:r>
            <w:r w:rsidR="00A11EAB"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a</w:t>
            </w: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) Health shocks / out-</w:t>
            </w: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lastRenderedPageBreak/>
              <w:t>of-pocket expenditures → economic vulnerability</w:t>
            </w:r>
          </w:p>
        </w:tc>
      </w:tr>
      <w:tr w:rsidR="00CC329A" w:rsidRPr="00F21A32" w14:paraId="105F1683" w14:textId="77777777" w:rsidTr="004A7CF0">
        <w:tc>
          <w:tcPr>
            <w:tcW w:w="0" w:type="auto"/>
            <w:hideMark/>
          </w:tcPr>
          <w:p w14:paraId="00641363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Xu K. et al. (2003)</w:t>
            </w:r>
          </w:p>
        </w:tc>
        <w:tc>
          <w:tcPr>
            <w:tcW w:w="0" w:type="auto"/>
            <w:hideMark/>
          </w:tcPr>
          <w:p w14:paraId="1A485F5C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Multi-country (59 countries, various income levels)</w:t>
            </w:r>
          </w:p>
        </w:tc>
        <w:tc>
          <w:tcPr>
            <w:tcW w:w="0" w:type="auto"/>
            <w:hideMark/>
          </w:tcPr>
          <w:p w14:paraId="657F0E35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Quantitative (multi-country analysis)</w:t>
            </w:r>
          </w:p>
        </w:tc>
        <w:tc>
          <w:tcPr>
            <w:tcW w:w="0" w:type="auto"/>
            <w:hideMark/>
          </w:tcPr>
          <w:p w14:paraId="565101E4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National household surveys (internationally comparable)</w:t>
            </w:r>
          </w:p>
        </w:tc>
        <w:tc>
          <w:tcPr>
            <w:tcW w:w="0" w:type="auto"/>
            <w:hideMark/>
          </w:tcPr>
          <w:p w14:paraId="7CC276CB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Households</w:t>
            </w:r>
          </w:p>
        </w:tc>
        <w:tc>
          <w:tcPr>
            <w:tcW w:w="0" w:type="auto"/>
            <w:hideMark/>
          </w:tcPr>
          <w:p w14:paraId="4B544A53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Health care use requiring payment; out-of-pocket health expenditures</w:t>
            </w:r>
          </w:p>
        </w:tc>
        <w:tc>
          <w:tcPr>
            <w:tcW w:w="0" w:type="auto"/>
            <w:hideMark/>
          </w:tcPr>
          <w:p w14:paraId="7BB4204D" w14:textId="77777777" w:rsidR="00CC329A" w:rsidRPr="00C20CD8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Catastrophic health expenditures (defined by threshold &gt;40% of capacity to pay)</w:t>
            </w:r>
          </w:p>
        </w:tc>
        <w:tc>
          <w:tcPr>
            <w:tcW w:w="0" w:type="auto"/>
            <w:hideMark/>
          </w:tcPr>
          <w:p w14:paraId="4848151F" w14:textId="0A51689C" w:rsidR="00CC329A" w:rsidRPr="00C20CD8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(</w:t>
            </w:r>
            <w:r w:rsidR="00A11EAB"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a</w:t>
            </w: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) Catastrophic health expenditures → economic vulnerability</w:t>
            </w:r>
          </w:p>
        </w:tc>
      </w:tr>
      <w:tr w:rsidR="00CC329A" w:rsidRPr="00F21A32" w14:paraId="71945B72" w14:textId="77777777" w:rsidTr="004A7CF0">
        <w:tc>
          <w:tcPr>
            <w:tcW w:w="0" w:type="auto"/>
            <w:hideMark/>
          </w:tcPr>
          <w:p w14:paraId="2AEF67AC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Wei N., Huang W., Zhou L.L. (2021)</w:t>
            </w:r>
          </w:p>
        </w:tc>
        <w:tc>
          <w:tcPr>
            <w:tcW w:w="0" w:type="auto"/>
            <w:hideMark/>
          </w:tcPr>
          <w:p w14:paraId="3D690149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China</w:t>
            </w:r>
          </w:p>
        </w:tc>
        <w:tc>
          <w:tcPr>
            <w:tcW w:w="0" w:type="auto"/>
            <w:hideMark/>
          </w:tcPr>
          <w:p w14:paraId="00631228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Quantitative (empirical analysis using propensity score matching)</w:t>
            </w:r>
          </w:p>
        </w:tc>
        <w:tc>
          <w:tcPr>
            <w:tcW w:w="0" w:type="auto"/>
            <w:hideMark/>
          </w:tcPr>
          <w:p w14:paraId="73BC4AB1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China Family Panel Studies (CFPS) 2018</w:t>
            </w:r>
          </w:p>
        </w:tc>
        <w:tc>
          <w:tcPr>
            <w:tcW w:w="0" w:type="auto"/>
            <w:hideMark/>
          </w:tcPr>
          <w:p w14:paraId="198A510E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Chinese households (all income levels)</w:t>
            </w:r>
          </w:p>
        </w:tc>
        <w:tc>
          <w:tcPr>
            <w:tcW w:w="0" w:type="auto"/>
            <w:hideMark/>
          </w:tcPr>
          <w:p w14:paraId="6A544566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Catastrophic health expenditures (CHE; main threshold &gt;40% of capacity to pay)</w:t>
            </w:r>
          </w:p>
        </w:tc>
        <w:tc>
          <w:tcPr>
            <w:tcW w:w="0" w:type="auto"/>
            <w:hideMark/>
          </w:tcPr>
          <w:p w14:paraId="3DF7468D" w14:textId="77777777" w:rsidR="00CC329A" w:rsidRPr="00C20CD8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Household consumption (total and essential items), reduction in durable goods, increased debt</w:t>
            </w:r>
          </w:p>
        </w:tc>
        <w:tc>
          <w:tcPr>
            <w:tcW w:w="0" w:type="auto"/>
            <w:hideMark/>
          </w:tcPr>
          <w:p w14:paraId="525A69A9" w14:textId="1C9C3DB4" w:rsidR="00CC329A" w:rsidRPr="00C20CD8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(</w:t>
            </w:r>
            <w:r w:rsidR="00A11EAB"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a</w:t>
            </w: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) Catastrophic health expenditures → economic vulnerability</w:t>
            </w:r>
          </w:p>
        </w:tc>
      </w:tr>
      <w:tr w:rsidR="00CC329A" w:rsidRPr="00F21A32" w14:paraId="4B9D075F" w14:textId="77777777" w:rsidTr="004A7CF0">
        <w:tc>
          <w:tcPr>
            <w:tcW w:w="0" w:type="auto"/>
            <w:hideMark/>
          </w:tcPr>
          <w:p w14:paraId="6385298F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Kaso A.W. et al. (2025)</w:t>
            </w:r>
          </w:p>
        </w:tc>
        <w:tc>
          <w:tcPr>
            <w:tcW w:w="0" w:type="auto"/>
            <w:hideMark/>
          </w:tcPr>
          <w:p w14:paraId="06984A9D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Low- and middle-income countries (LMICs)</w:t>
            </w:r>
          </w:p>
        </w:tc>
        <w:tc>
          <w:tcPr>
            <w:tcW w:w="0" w:type="auto"/>
            <w:hideMark/>
          </w:tcPr>
          <w:p w14:paraId="1B731F96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Systematic review and meta-analysis</w:t>
            </w:r>
          </w:p>
        </w:tc>
        <w:tc>
          <w:tcPr>
            <w:tcW w:w="0" w:type="auto"/>
            <w:hideMark/>
          </w:tcPr>
          <w:p w14:paraId="2A8F79F6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Published empirical studies (household/patient surveys, depending on included studies)</w:t>
            </w:r>
          </w:p>
        </w:tc>
        <w:tc>
          <w:tcPr>
            <w:tcW w:w="0" w:type="auto"/>
            <w:hideMark/>
          </w:tcPr>
          <w:p w14:paraId="5D469C3F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Patients with cancer</w:t>
            </w:r>
          </w:p>
        </w:tc>
        <w:tc>
          <w:tcPr>
            <w:tcW w:w="0" w:type="auto"/>
            <w:hideMark/>
          </w:tcPr>
          <w:p w14:paraId="78E4FA78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Cancer (all sites, depending on included studies)</w:t>
            </w:r>
          </w:p>
        </w:tc>
        <w:tc>
          <w:tcPr>
            <w:tcW w:w="0" w:type="auto"/>
            <w:hideMark/>
          </w:tcPr>
          <w:p w14:paraId="0369C8C8" w14:textId="77777777" w:rsidR="00CC329A" w:rsidRPr="00C20CD8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Catastrophic health expenditures (prevalence/magnitude); determinants of CHE</w:t>
            </w:r>
          </w:p>
        </w:tc>
        <w:tc>
          <w:tcPr>
            <w:tcW w:w="0" w:type="auto"/>
            <w:hideMark/>
          </w:tcPr>
          <w:p w14:paraId="0C484573" w14:textId="3374C20A" w:rsidR="00CC329A" w:rsidRPr="00C20CD8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(</w:t>
            </w:r>
            <w:r w:rsidR="00A11EAB"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a</w:t>
            </w: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) Severe illness → catastrophic health expenditures / economic vulnerability</w:t>
            </w:r>
          </w:p>
        </w:tc>
      </w:tr>
      <w:tr w:rsidR="00CC329A" w:rsidRPr="00F21A32" w14:paraId="1C1107DB" w14:textId="77777777" w:rsidTr="004A7CF0">
        <w:tc>
          <w:tcPr>
            <w:tcW w:w="0" w:type="auto"/>
            <w:hideMark/>
          </w:tcPr>
          <w:p w14:paraId="6230A2FF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Houeninvo H.G. et al. (2023)</w:t>
            </w:r>
          </w:p>
        </w:tc>
        <w:tc>
          <w:tcPr>
            <w:tcW w:w="0" w:type="auto"/>
            <w:hideMark/>
          </w:tcPr>
          <w:p w14:paraId="7EEA0885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Benin</w:t>
            </w:r>
          </w:p>
        </w:tc>
        <w:tc>
          <w:tcPr>
            <w:tcW w:w="0" w:type="auto"/>
            <w:hideMark/>
          </w:tcPr>
          <w:p w14:paraId="7355C821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Quantitative (econometric analysis: QUAIDS, 3SLS, SURE)</w:t>
            </w:r>
          </w:p>
        </w:tc>
        <w:tc>
          <w:tcPr>
            <w:tcW w:w="0" w:type="auto"/>
            <w:hideMark/>
          </w:tcPr>
          <w:p w14:paraId="3CEB96E5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Global Vulnerability and Food Security Analysis Survey</w:t>
            </w:r>
          </w:p>
        </w:tc>
        <w:tc>
          <w:tcPr>
            <w:tcW w:w="0" w:type="auto"/>
            <w:hideMark/>
          </w:tcPr>
          <w:p w14:paraId="3508A13D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Households (n = 14,952)</w:t>
            </w:r>
          </w:p>
        </w:tc>
        <w:tc>
          <w:tcPr>
            <w:tcW w:w="0" w:type="auto"/>
            <w:hideMark/>
          </w:tcPr>
          <w:p w14:paraId="271E7708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Out-of-pocket health expenditures; health shocks</w:t>
            </w:r>
          </w:p>
        </w:tc>
        <w:tc>
          <w:tcPr>
            <w:tcW w:w="0" w:type="auto"/>
            <w:hideMark/>
          </w:tcPr>
          <w:p w14:paraId="56C92786" w14:textId="77777777" w:rsidR="00CC329A" w:rsidRPr="00C20CD8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Household consumption by category (education, essential goods); crowding-out effects</w:t>
            </w:r>
          </w:p>
        </w:tc>
        <w:tc>
          <w:tcPr>
            <w:tcW w:w="0" w:type="auto"/>
            <w:hideMark/>
          </w:tcPr>
          <w:p w14:paraId="7DFE33AA" w14:textId="66E4EC79" w:rsidR="00CC329A" w:rsidRPr="00C20CD8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(</w:t>
            </w:r>
            <w:r w:rsidR="00A11EAB"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a</w:t>
            </w: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) Out-of-pocket health expenditures → economic vulnerability / consumption crowding-out</w:t>
            </w:r>
          </w:p>
        </w:tc>
      </w:tr>
      <w:tr w:rsidR="00CC329A" w:rsidRPr="00F21A32" w14:paraId="70FCF86B" w14:textId="77777777" w:rsidTr="004A7CF0">
        <w:tc>
          <w:tcPr>
            <w:tcW w:w="0" w:type="auto"/>
            <w:hideMark/>
          </w:tcPr>
          <w:p w14:paraId="54672337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Garcia-Diaz R. et al. (2024)</w:t>
            </w:r>
          </w:p>
        </w:tc>
        <w:tc>
          <w:tcPr>
            <w:tcW w:w="0" w:type="auto"/>
            <w:hideMark/>
          </w:tcPr>
          <w:p w14:paraId="13BED9D6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Sub-Saharan Africa (Malawi, Tanzania, Uganda)</w:t>
            </w:r>
          </w:p>
        </w:tc>
        <w:tc>
          <w:tcPr>
            <w:tcW w:w="0" w:type="auto"/>
            <w:hideMark/>
          </w:tcPr>
          <w:p w14:paraId="1BB7ACF4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Quantitative (longitudinal panel analysis)</w:t>
            </w:r>
          </w:p>
        </w:tc>
        <w:tc>
          <w:tcPr>
            <w:tcW w:w="0" w:type="auto"/>
            <w:hideMark/>
          </w:tcPr>
          <w:p w14:paraId="7072C7AE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National household panel surveys</w:t>
            </w:r>
          </w:p>
        </w:tc>
        <w:tc>
          <w:tcPr>
            <w:tcW w:w="0" w:type="auto"/>
            <w:hideMark/>
          </w:tcPr>
          <w:p w14:paraId="7E636381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Households</w:t>
            </w:r>
          </w:p>
        </w:tc>
        <w:tc>
          <w:tcPr>
            <w:tcW w:w="0" w:type="auto"/>
            <w:hideMark/>
          </w:tcPr>
          <w:p w14:paraId="45ED5176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Out-of-pocket health expenditures; hospitalisation</w:t>
            </w:r>
          </w:p>
        </w:tc>
        <w:tc>
          <w:tcPr>
            <w:tcW w:w="0" w:type="auto"/>
            <w:hideMark/>
          </w:tcPr>
          <w:p w14:paraId="3C5AF09D" w14:textId="77777777" w:rsidR="00CC329A" w:rsidRPr="00C20CD8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Catastrophic health expenditures (incidence, persistence, recurrence); chronic exposure to financial risk</w:t>
            </w:r>
          </w:p>
        </w:tc>
        <w:tc>
          <w:tcPr>
            <w:tcW w:w="0" w:type="auto"/>
            <w:hideMark/>
          </w:tcPr>
          <w:p w14:paraId="07CD7B39" w14:textId="355D7BB5" w:rsidR="00CC329A" w:rsidRPr="00C20CD8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(</w:t>
            </w:r>
            <w:r w:rsidR="00F21A32"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a</w:t>
            </w: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) Persistent catastrophic health expenditures → economic vulnerability</w:t>
            </w:r>
          </w:p>
        </w:tc>
      </w:tr>
      <w:tr w:rsidR="00CC329A" w:rsidRPr="00F21A32" w14:paraId="1480E767" w14:textId="77777777" w:rsidTr="004A7CF0">
        <w:tc>
          <w:tcPr>
            <w:tcW w:w="0" w:type="auto"/>
            <w:hideMark/>
          </w:tcPr>
          <w:p w14:paraId="33D32259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Wagstaff A. et al. (2018)</w:t>
            </w:r>
          </w:p>
        </w:tc>
        <w:tc>
          <w:tcPr>
            <w:tcW w:w="0" w:type="auto"/>
            <w:hideMark/>
          </w:tcPr>
          <w:p w14:paraId="45D98560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Global (133 countries)</w:t>
            </w:r>
          </w:p>
        </w:tc>
        <w:tc>
          <w:tcPr>
            <w:tcW w:w="0" w:type="auto"/>
            <w:hideMark/>
          </w:tcPr>
          <w:p w14:paraId="44DE93EF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Quantitative (retrospective observational study)</w:t>
            </w:r>
          </w:p>
        </w:tc>
        <w:tc>
          <w:tcPr>
            <w:tcW w:w="0" w:type="auto"/>
            <w:hideMark/>
          </w:tcPr>
          <w:p w14:paraId="29DE0C6C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National household surveys (553 validated surveys, 1984–2015)</w:t>
            </w:r>
          </w:p>
        </w:tc>
        <w:tc>
          <w:tcPr>
            <w:tcW w:w="0" w:type="auto"/>
            <w:hideMark/>
          </w:tcPr>
          <w:p w14:paraId="468F417B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Households</w:t>
            </w:r>
          </w:p>
        </w:tc>
        <w:tc>
          <w:tcPr>
            <w:tcW w:w="0" w:type="auto"/>
            <w:hideMark/>
          </w:tcPr>
          <w:p w14:paraId="00CFF902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Out-of-pocket health expenditures</w:t>
            </w:r>
          </w:p>
        </w:tc>
        <w:tc>
          <w:tcPr>
            <w:tcW w:w="0" w:type="auto"/>
            <w:hideMark/>
          </w:tcPr>
          <w:p w14:paraId="459075BA" w14:textId="77777777" w:rsidR="00CC329A" w:rsidRPr="00C20CD8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Catastrophic health expenditures (10% and 25% of consumption thresholds); incidence and trends</w:t>
            </w:r>
          </w:p>
        </w:tc>
        <w:tc>
          <w:tcPr>
            <w:tcW w:w="0" w:type="auto"/>
            <w:hideMark/>
          </w:tcPr>
          <w:p w14:paraId="52013CA8" w14:textId="1463DCF5" w:rsidR="00CC329A" w:rsidRPr="00C20CD8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(</w:t>
            </w:r>
            <w:r w:rsidR="00F21A32"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a</w:t>
            </w: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) Catastrophic health expenditures → economic vulnerability</w:t>
            </w:r>
          </w:p>
        </w:tc>
      </w:tr>
      <w:tr w:rsidR="00CC329A" w:rsidRPr="00F21A32" w14:paraId="6D4F8DD3" w14:textId="77777777" w:rsidTr="004A7CF0">
        <w:tc>
          <w:tcPr>
            <w:tcW w:w="0" w:type="auto"/>
            <w:hideMark/>
          </w:tcPr>
          <w:p w14:paraId="303A2340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Wagstaff A. (2007)</w:t>
            </w:r>
          </w:p>
        </w:tc>
        <w:tc>
          <w:tcPr>
            <w:tcW w:w="0" w:type="auto"/>
            <w:hideMark/>
          </w:tcPr>
          <w:p w14:paraId="41671701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Vietnam</w:t>
            </w:r>
          </w:p>
        </w:tc>
        <w:tc>
          <w:tcPr>
            <w:tcW w:w="0" w:type="auto"/>
            <w:hideMark/>
          </w:tcPr>
          <w:p w14:paraId="2AEA6984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Quantitative (microeconomic analysis)</w:t>
            </w:r>
          </w:p>
        </w:tc>
        <w:tc>
          <w:tcPr>
            <w:tcW w:w="0" w:type="auto"/>
            <w:hideMark/>
          </w:tcPr>
          <w:p w14:paraId="7DDEB2DC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Vietnamese household panel surveys</w:t>
            </w:r>
          </w:p>
        </w:tc>
        <w:tc>
          <w:tcPr>
            <w:tcW w:w="0" w:type="auto"/>
            <w:hideMark/>
          </w:tcPr>
          <w:p w14:paraId="63808DD1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Urban and rural households</w:t>
            </w:r>
          </w:p>
        </w:tc>
        <w:tc>
          <w:tcPr>
            <w:tcW w:w="0" w:type="auto"/>
            <w:hideMark/>
          </w:tcPr>
          <w:p w14:paraId="55CD7A58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Health shocks: death, prolonged hospitalisation, decline in BMI</w:t>
            </w:r>
          </w:p>
        </w:tc>
        <w:tc>
          <w:tcPr>
            <w:tcW w:w="0" w:type="auto"/>
            <w:hideMark/>
          </w:tcPr>
          <w:p w14:paraId="46DB5FA1" w14:textId="77777777" w:rsidR="00CC329A" w:rsidRPr="00C20CD8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Earned and unearned income, medical expenditures, consumption</w:t>
            </w:r>
          </w:p>
        </w:tc>
        <w:tc>
          <w:tcPr>
            <w:tcW w:w="0" w:type="auto"/>
            <w:hideMark/>
          </w:tcPr>
          <w:p w14:paraId="68F07F46" w14:textId="7E871D92" w:rsidR="00CC329A" w:rsidRPr="00C20CD8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(</w:t>
            </w:r>
            <w:r w:rsidR="00F21A32"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b</w:t>
            </w: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) Health shock → income reduction and (</w:t>
            </w:r>
            <w:r w:rsidR="00F21A32"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a</w:t>
            </w:r>
            <w:r w:rsidRPr="00C20CD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) Health shock → higher expenditures → economic vulnerability</w:t>
            </w:r>
          </w:p>
        </w:tc>
      </w:tr>
      <w:tr w:rsidR="00CC329A" w:rsidRPr="00F21A32" w14:paraId="74514CF1" w14:textId="77777777" w:rsidTr="004A7CF0">
        <w:tc>
          <w:tcPr>
            <w:tcW w:w="0" w:type="auto"/>
            <w:hideMark/>
          </w:tcPr>
          <w:p w14:paraId="2000B8FD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Adeniji F.I.P. et al. (2022)</w:t>
            </w:r>
          </w:p>
        </w:tc>
        <w:tc>
          <w:tcPr>
            <w:tcW w:w="0" w:type="auto"/>
            <w:hideMark/>
          </w:tcPr>
          <w:p w14:paraId="56C57396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Nigeria (Ibadan)</w:t>
            </w:r>
          </w:p>
        </w:tc>
        <w:tc>
          <w:tcPr>
            <w:tcW w:w="0" w:type="auto"/>
            <w:hideMark/>
          </w:tcPr>
          <w:p w14:paraId="6FF02BBD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Quantitative (descriptive cross-sectional study)</w:t>
            </w:r>
          </w:p>
        </w:tc>
        <w:tc>
          <w:tcPr>
            <w:tcW w:w="0" w:type="auto"/>
            <w:hideMark/>
          </w:tcPr>
          <w:p w14:paraId="6BCAE13A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Survey of 744 cardiovascular disease patients (standardised questionnaire)</w:t>
            </w:r>
          </w:p>
        </w:tc>
        <w:tc>
          <w:tcPr>
            <w:tcW w:w="0" w:type="auto"/>
            <w:hideMark/>
          </w:tcPr>
          <w:p w14:paraId="612F59BE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Households of CVD patients</w:t>
            </w:r>
          </w:p>
        </w:tc>
        <w:tc>
          <w:tcPr>
            <w:tcW w:w="0" w:type="auto"/>
            <w:hideMark/>
          </w:tcPr>
          <w:p w14:paraId="7092A89C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Incidence and intensity of catastrophic health expenditures; CVD-related health shocks</w:t>
            </w:r>
          </w:p>
        </w:tc>
        <w:tc>
          <w:tcPr>
            <w:tcW w:w="0" w:type="auto"/>
            <w:hideMark/>
          </w:tcPr>
          <w:p w14:paraId="455B59AA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Catastrophic expenditure incidence (range 3.9%–54.6%); poverty headcount before/after OOP payments</w:t>
            </w:r>
          </w:p>
        </w:tc>
        <w:tc>
          <w:tcPr>
            <w:tcW w:w="0" w:type="auto"/>
            <w:hideMark/>
          </w:tcPr>
          <w:p w14:paraId="5C8BA54C" w14:textId="5C8D41F6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(</w:t>
            </w:r>
            <w:r w:rsidR="00F21A3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a</w:t>
            </w: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) Catastrophic health expenditures → economic vulnerability</w:t>
            </w:r>
          </w:p>
        </w:tc>
      </w:tr>
      <w:tr w:rsidR="00CC329A" w:rsidRPr="00F21A32" w14:paraId="42AD810D" w14:textId="77777777" w:rsidTr="004A7CF0">
        <w:tc>
          <w:tcPr>
            <w:tcW w:w="0" w:type="auto"/>
            <w:hideMark/>
          </w:tcPr>
          <w:p w14:paraId="6E01AED0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Oudmane, Mourji &amp; Ezzrari (2019)</w:t>
            </w:r>
          </w:p>
        </w:tc>
        <w:tc>
          <w:tcPr>
            <w:tcW w:w="0" w:type="auto"/>
            <w:hideMark/>
          </w:tcPr>
          <w:p w14:paraId="519C45BE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Morocco</w:t>
            </w:r>
          </w:p>
        </w:tc>
        <w:tc>
          <w:tcPr>
            <w:tcW w:w="0" w:type="auto"/>
            <w:hideMark/>
          </w:tcPr>
          <w:p w14:paraId="732C5E51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Quantitative (econometric analysis)</w:t>
            </w:r>
          </w:p>
        </w:tc>
        <w:tc>
          <w:tcPr>
            <w:tcW w:w="0" w:type="auto"/>
            <w:hideMark/>
          </w:tcPr>
          <w:p w14:paraId="082B3088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National household expenditure and consumption survey</w:t>
            </w:r>
          </w:p>
        </w:tc>
        <w:tc>
          <w:tcPr>
            <w:tcW w:w="0" w:type="auto"/>
            <w:hideMark/>
          </w:tcPr>
          <w:p w14:paraId="7BF1827B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Households</w:t>
            </w:r>
          </w:p>
        </w:tc>
        <w:tc>
          <w:tcPr>
            <w:tcW w:w="0" w:type="auto"/>
            <w:hideMark/>
          </w:tcPr>
          <w:p w14:paraId="7B27A7E9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Out-of-pocket health expenditures; hospitalisation; presence of elderly members</w:t>
            </w:r>
          </w:p>
        </w:tc>
        <w:tc>
          <w:tcPr>
            <w:tcW w:w="0" w:type="auto"/>
            <w:hideMark/>
          </w:tcPr>
          <w:p w14:paraId="3B617FF8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Catastrophic expenditures (10% total consumption; 40% non-food consumption); post-payment impoverishment</w:t>
            </w:r>
          </w:p>
        </w:tc>
        <w:tc>
          <w:tcPr>
            <w:tcW w:w="0" w:type="auto"/>
            <w:hideMark/>
          </w:tcPr>
          <w:p w14:paraId="26771D58" w14:textId="54E7B0BD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(</w:t>
            </w:r>
            <w:r w:rsidR="00F21A3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a</w:t>
            </w: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) Health expenditures → financial catastrophe and impoverishment</w:t>
            </w:r>
          </w:p>
        </w:tc>
      </w:tr>
      <w:tr w:rsidR="00CC329A" w:rsidRPr="00F21A32" w14:paraId="1DFEEF5C" w14:textId="77777777" w:rsidTr="004A7CF0">
        <w:tc>
          <w:tcPr>
            <w:tcW w:w="0" w:type="auto"/>
            <w:hideMark/>
          </w:tcPr>
          <w:p w14:paraId="153C9F86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O’Donnell (2024)</w:t>
            </w:r>
          </w:p>
        </w:tc>
        <w:tc>
          <w:tcPr>
            <w:tcW w:w="0" w:type="auto"/>
            <w:hideMark/>
          </w:tcPr>
          <w:p w14:paraId="51C09C50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Global (LMICs + United States)</w:t>
            </w:r>
          </w:p>
        </w:tc>
        <w:tc>
          <w:tcPr>
            <w:tcW w:w="0" w:type="auto"/>
            <w:hideMark/>
          </w:tcPr>
          <w:p w14:paraId="65399196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Narrative review</w:t>
            </w:r>
          </w:p>
        </w:tc>
        <w:tc>
          <w:tcPr>
            <w:tcW w:w="0" w:type="auto"/>
            <w:hideMark/>
          </w:tcPr>
          <w:p w14:paraId="6C93103D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International empirical literature (non-systematic)</w:t>
            </w:r>
          </w:p>
        </w:tc>
        <w:tc>
          <w:tcPr>
            <w:tcW w:w="0" w:type="auto"/>
            <w:hideMark/>
          </w:tcPr>
          <w:p w14:paraId="60E2F1D0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Households / low-income populations</w:t>
            </w:r>
          </w:p>
        </w:tc>
        <w:tc>
          <w:tcPr>
            <w:tcW w:w="0" w:type="auto"/>
            <w:hideMark/>
          </w:tcPr>
          <w:p w14:paraId="7D63A9ED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Poor health; illness; access to care; public insurance coverage</w:t>
            </w:r>
          </w:p>
        </w:tc>
        <w:tc>
          <w:tcPr>
            <w:tcW w:w="0" w:type="auto"/>
            <w:hideMark/>
          </w:tcPr>
          <w:p w14:paraId="737AE27B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Monetary poverty; illness-related income loss; health expenditures; intergenerational vulnerability</w:t>
            </w:r>
          </w:p>
        </w:tc>
        <w:tc>
          <w:tcPr>
            <w:tcW w:w="0" w:type="auto"/>
            <w:hideMark/>
          </w:tcPr>
          <w:p w14:paraId="4C4F6C6A" w14:textId="44ADD224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(</w:t>
            </w:r>
            <w:r w:rsidR="00F21A3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a</w:t>
            </w: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) Health expenditures → impoverishment; (</w:t>
            </w:r>
            <w:r w:rsidR="00F21A3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b</w:t>
            </w: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) Illness → income loss; (iii) Long-term effects via human capital</w:t>
            </w:r>
          </w:p>
        </w:tc>
      </w:tr>
      <w:tr w:rsidR="00CC329A" w:rsidRPr="00F21A32" w14:paraId="2E3E6E74" w14:textId="77777777" w:rsidTr="004A7CF0">
        <w:tc>
          <w:tcPr>
            <w:tcW w:w="0" w:type="auto"/>
            <w:hideMark/>
          </w:tcPr>
          <w:p w14:paraId="58314F86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Kakkar et al. (2019)</w:t>
            </w:r>
          </w:p>
        </w:tc>
        <w:tc>
          <w:tcPr>
            <w:tcW w:w="0" w:type="auto"/>
            <w:hideMark/>
          </w:tcPr>
          <w:p w14:paraId="76C49CDF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Low- and middle-income countries (LMICs)</w:t>
            </w:r>
          </w:p>
        </w:tc>
        <w:tc>
          <w:tcPr>
            <w:tcW w:w="0" w:type="auto"/>
            <w:hideMark/>
          </w:tcPr>
          <w:p w14:paraId="6FC30501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Conceptual / policy analysis (One Health)</w:t>
            </w:r>
          </w:p>
        </w:tc>
        <w:tc>
          <w:tcPr>
            <w:tcW w:w="0" w:type="auto"/>
            <w:hideMark/>
          </w:tcPr>
          <w:p w14:paraId="27A3EA15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Scientific literature and One Health case studies</w:t>
            </w:r>
          </w:p>
        </w:tc>
        <w:tc>
          <w:tcPr>
            <w:tcW w:w="0" w:type="auto"/>
            <w:hideMark/>
          </w:tcPr>
          <w:p w14:paraId="5657DEB3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Vulnerable human and animal </w:t>
            </w: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lastRenderedPageBreak/>
              <w:t>populations</w:t>
            </w:r>
          </w:p>
        </w:tc>
        <w:tc>
          <w:tcPr>
            <w:tcW w:w="0" w:type="auto"/>
            <w:hideMark/>
          </w:tcPr>
          <w:p w14:paraId="04076647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lastRenderedPageBreak/>
              <w:t xml:space="preserve">Infectious and zoonotic diseases; human and </w:t>
            </w: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lastRenderedPageBreak/>
              <w:t>animal health</w:t>
            </w:r>
          </w:p>
        </w:tc>
        <w:tc>
          <w:tcPr>
            <w:tcW w:w="0" w:type="auto"/>
            <w:hideMark/>
          </w:tcPr>
          <w:p w14:paraId="2AEB5ED4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lastRenderedPageBreak/>
              <w:t xml:space="preserve">Economic burden of disease; livelihood losses; economic vulnerability </w:t>
            </w: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lastRenderedPageBreak/>
              <w:t>(analytical framework)</w:t>
            </w:r>
          </w:p>
        </w:tc>
        <w:tc>
          <w:tcPr>
            <w:tcW w:w="0" w:type="auto"/>
            <w:hideMark/>
          </w:tcPr>
          <w:p w14:paraId="22A1A4DD" w14:textId="5DACE71F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lastRenderedPageBreak/>
              <w:t>(</w:t>
            </w:r>
            <w:r w:rsidR="00F21A3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a</w:t>
            </w: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) Reduction of disease costs; (</w:t>
            </w:r>
            <w:r w:rsidR="00F21A3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b</w:t>
            </w: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) Preservation </w:t>
            </w: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lastRenderedPageBreak/>
              <w:t>of livelihoods; (</w:t>
            </w:r>
            <w:r w:rsidR="00F21A3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</w:t>
            </w: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) Long-term systemic effects via One Health</w:t>
            </w:r>
          </w:p>
        </w:tc>
      </w:tr>
      <w:tr w:rsidR="00CC329A" w:rsidRPr="00F21A32" w14:paraId="0E691F57" w14:textId="77777777" w:rsidTr="004A7CF0">
        <w:tc>
          <w:tcPr>
            <w:tcW w:w="0" w:type="auto"/>
            <w:hideMark/>
          </w:tcPr>
          <w:p w14:paraId="2C202C83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Kishwar et al. (2023)</w:t>
            </w:r>
          </w:p>
        </w:tc>
        <w:tc>
          <w:tcPr>
            <w:tcW w:w="0" w:type="auto"/>
            <w:hideMark/>
          </w:tcPr>
          <w:p w14:paraId="6958654B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Pakistan</w:t>
            </w:r>
          </w:p>
        </w:tc>
        <w:tc>
          <w:tcPr>
            <w:tcW w:w="0" w:type="auto"/>
            <w:hideMark/>
          </w:tcPr>
          <w:p w14:paraId="7F32E7ED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Quantitative (household survey, comparative analysis)</w:t>
            </w:r>
          </w:p>
        </w:tc>
        <w:tc>
          <w:tcPr>
            <w:tcW w:w="0" w:type="auto"/>
            <w:hideMark/>
          </w:tcPr>
          <w:p w14:paraId="5EF86EB3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Household Integrated Economic Survey (HIES 2015–16, 2018–19)</w:t>
            </w:r>
          </w:p>
        </w:tc>
        <w:tc>
          <w:tcPr>
            <w:tcW w:w="0" w:type="auto"/>
            <w:hideMark/>
          </w:tcPr>
          <w:p w14:paraId="7BBBAFC0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Households (formal vs informal employment)</w:t>
            </w:r>
          </w:p>
        </w:tc>
        <w:tc>
          <w:tcPr>
            <w:tcW w:w="0" w:type="auto"/>
            <w:hideMark/>
          </w:tcPr>
          <w:p w14:paraId="6A525A13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Out-of-pocket health expenditures</w:t>
            </w:r>
          </w:p>
        </w:tc>
        <w:tc>
          <w:tcPr>
            <w:tcW w:w="0" w:type="auto"/>
            <w:hideMark/>
          </w:tcPr>
          <w:p w14:paraId="74567885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Catastrophic health expenditures, impoverishment, informal employment status</w:t>
            </w:r>
          </w:p>
        </w:tc>
        <w:tc>
          <w:tcPr>
            <w:tcW w:w="0" w:type="auto"/>
            <w:hideMark/>
          </w:tcPr>
          <w:p w14:paraId="345A7C8E" w14:textId="028B7422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(</w:t>
            </w:r>
            <w:r w:rsidR="00F21A3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a</w:t>
            </w: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) Unanticipated / catastrophic health expenditures; (</w:t>
            </w:r>
            <w:r w:rsidR="00F21A3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b</w:t>
            </w: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) illness-related economic losses</w:t>
            </w:r>
          </w:p>
        </w:tc>
      </w:tr>
      <w:tr w:rsidR="00CC329A" w:rsidRPr="00F21A32" w14:paraId="1DD821E2" w14:textId="77777777" w:rsidTr="004A7CF0">
        <w:tc>
          <w:tcPr>
            <w:tcW w:w="0" w:type="auto"/>
            <w:hideMark/>
          </w:tcPr>
          <w:p w14:paraId="71E41894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Alam (2015)</w:t>
            </w:r>
          </w:p>
        </w:tc>
        <w:tc>
          <w:tcPr>
            <w:tcW w:w="0" w:type="auto"/>
            <w:hideMark/>
          </w:tcPr>
          <w:p w14:paraId="568FED03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Tanzania</w:t>
            </w:r>
          </w:p>
        </w:tc>
        <w:tc>
          <w:tcPr>
            <w:tcW w:w="0" w:type="auto"/>
            <w:hideMark/>
          </w:tcPr>
          <w:p w14:paraId="6A8460AE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Quantitative (longitudinal)</w:t>
            </w:r>
          </w:p>
        </w:tc>
        <w:tc>
          <w:tcPr>
            <w:tcW w:w="0" w:type="auto"/>
            <w:hideMark/>
          </w:tcPr>
          <w:p w14:paraId="737DF62F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Household survey data</w:t>
            </w:r>
          </w:p>
        </w:tc>
        <w:tc>
          <w:tcPr>
            <w:tcW w:w="0" w:type="auto"/>
            <w:hideMark/>
          </w:tcPr>
          <w:p w14:paraId="425A5665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Children and households with ill parents</w:t>
            </w:r>
          </w:p>
        </w:tc>
        <w:tc>
          <w:tcPr>
            <w:tcW w:w="0" w:type="auto"/>
            <w:hideMark/>
          </w:tcPr>
          <w:p w14:paraId="1EB13B22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Parental illness (father’s health shock)</w:t>
            </w:r>
          </w:p>
        </w:tc>
        <w:tc>
          <w:tcPr>
            <w:tcW w:w="0" w:type="auto"/>
            <w:hideMark/>
          </w:tcPr>
          <w:p w14:paraId="1036440C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Household income decline; reduced school attendance</w:t>
            </w:r>
          </w:p>
        </w:tc>
        <w:tc>
          <w:tcPr>
            <w:tcW w:w="0" w:type="auto"/>
            <w:hideMark/>
          </w:tcPr>
          <w:p w14:paraId="0CDD38C9" w14:textId="67A33BB3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(</w:t>
            </w:r>
            <w:r w:rsidR="00F21A3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</w:t>
            </w: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) Indirect effects on human capital via budget constraints and school withdrawal</w:t>
            </w:r>
          </w:p>
        </w:tc>
      </w:tr>
      <w:tr w:rsidR="00CC329A" w:rsidRPr="00F21A32" w14:paraId="715988B3" w14:textId="77777777" w:rsidTr="004A7CF0">
        <w:tc>
          <w:tcPr>
            <w:tcW w:w="0" w:type="auto"/>
            <w:hideMark/>
          </w:tcPr>
          <w:p w14:paraId="07988AAF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Bratti &amp; Mendola (2014)</w:t>
            </w:r>
          </w:p>
        </w:tc>
        <w:tc>
          <w:tcPr>
            <w:tcW w:w="0" w:type="auto"/>
            <w:hideMark/>
          </w:tcPr>
          <w:p w14:paraId="020D1C2B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Bosnia and Herzegovina</w:t>
            </w:r>
          </w:p>
        </w:tc>
        <w:tc>
          <w:tcPr>
            <w:tcW w:w="0" w:type="auto"/>
            <w:hideMark/>
          </w:tcPr>
          <w:p w14:paraId="4BFE40C3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Quantitative (panel data with fixed effects)</w:t>
            </w:r>
          </w:p>
        </w:tc>
        <w:tc>
          <w:tcPr>
            <w:tcW w:w="0" w:type="auto"/>
            <w:hideMark/>
          </w:tcPr>
          <w:p w14:paraId="740759F2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Longitudinal household data</w:t>
            </w:r>
          </w:p>
        </w:tc>
        <w:tc>
          <w:tcPr>
            <w:tcW w:w="0" w:type="auto"/>
            <w:hideMark/>
          </w:tcPr>
          <w:p w14:paraId="59129957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Children aged 15–24</w:t>
            </w:r>
          </w:p>
        </w:tc>
        <w:tc>
          <w:tcPr>
            <w:tcW w:w="0" w:type="auto"/>
            <w:hideMark/>
          </w:tcPr>
          <w:p w14:paraId="39918555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Parental health problems (maternal health)</w:t>
            </w:r>
          </w:p>
        </w:tc>
        <w:tc>
          <w:tcPr>
            <w:tcW w:w="0" w:type="auto"/>
            <w:hideMark/>
          </w:tcPr>
          <w:p w14:paraId="1EB4E8D8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School dropout; increased child labour to finance health expenditures</w:t>
            </w:r>
          </w:p>
        </w:tc>
        <w:tc>
          <w:tcPr>
            <w:tcW w:w="0" w:type="auto"/>
            <w:hideMark/>
          </w:tcPr>
          <w:p w14:paraId="1D556D94" w14:textId="79EDC731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(</w:t>
            </w:r>
            <w:r w:rsidR="00F21A3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</w:t>
            </w: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) Intergenerational indirect effects on human capital (education / child labour)</w:t>
            </w:r>
          </w:p>
        </w:tc>
      </w:tr>
      <w:tr w:rsidR="00CC329A" w:rsidRPr="00F21A32" w14:paraId="37659955" w14:textId="77777777" w:rsidTr="004A7CF0">
        <w:tc>
          <w:tcPr>
            <w:tcW w:w="0" w:type="auto"/>
            <w:hideMark/>
          </w:tcPr>
          <w:p w14:paraId="12DE353D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Atake (2018)</w:t>
            </w:r>
          </w:p>
        </w:tc>
        <w:tc>
          <w:tcPr>
            <w:tcW w:w="0" w:type="auto"/>
            <w:hideMark/>
          </w:tcPr>
          <w:p w14:paraId="71AD2286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Burkina Faso, Niger, Togo</w:t>
            </w:r>
          </w:p>
        </w:tc>
        <w:tc>
          <w:tcPr>
            <w:tcW w:w="0" w:type="auto"/>
            <w:hideMark/>
          </w:tcPr>
          <w:p w14:paraId="1A1265D1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Quantitative (household surveys, MCGR)</w:t>
            </w:r>
          </w:p>
        </w:tc>
        <w:tc>
          <w:tcPr>
            <w:tcW w:w="0" w:type="auto"/>
            <w:hideMark/>
          </w:tcPr>
          <w:p w14:paraId="4ED8D592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National household surveys</w:t>
            </w:r>
          </w:p>
        </w:tc>
        <w:tc>
          <w:tcPr>
            <w:tcW w:w="0" w:type="auto"/>
            <w:hideMark/>
          </w:tcPr>
          <w:p w14:paraId="6F86294A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Poor and uninsured households</w:t>
            </w:r>
          </w:p>
        </w:tc>
        <w:tc>
          <w:tcPr>
            <w:tcW w:w="0" w:type="auto"/>
            <w:hideMark/>
          </w:tcPr>
          <w:p w14:paraId="08EAE144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</w:rPr>
              <w:t>Health shocks (illness, disability)</w:t>
            </w:r>
          </w:p>
        </w:tc>
        <w:tc>
          <w:tcPr>
            <w:tcW w:w="0" w:type="auto"/>
            <w:hideMark/>
          </w:tcPr>
          <w:p w14:paraId="35D0980A" w14:textId="77777777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Vulnerability to poverty; welfare losses</w:t>
            </w:r>
          </w:p>
        </w:tc>
        <w:tc>
          <w:tcPr>
            <w:tcW w:w="0" w:type="auto"/>
            <w:hideMark/>
          </w:tcPr>
          <w:p w14:paraId="1E65832A" w14:textId="776BC69C" w:rsidR="00CC329A" w:rsidRPr="0090725D" w:rsidRDefault="00CC329A" w:rsidP="004A7CF0">
            <w:pPr>
              <w:spacing w:after="160" w:line="278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(</w:t>
            </w:r>
            <w:r w:rsidR="00F21A3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</w:t>
            </w:r>
            <w:r w:rsidRPr="0090725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) Indirect effects via economic vulnerability and human capital disinvestment</w:t>
            </w:r>
          </w:p>
        </w:tc>
      </w:tr>
    </w:tbl>
    <w:p w14:paraId="4F3537EF" w14:textId="77777777" w:rsidR="00CC329A" w:rsidRPr="0001771F" w:rsidRDefault="00CC329A" w:rsidP="00C7700F">
      <w:pPr>
        <w:rPr>
          <w:rFonts w:asciiTheme="majorBidi" w:hAnsiTheme="majorBidi" w:cstheme="majorBidi"/>
          <w:sz w:val="18"/>
          <w:szCs w:val="18"/>
          <w:lang w:val="en-US"/>
        </w:rPr>
      </w:pPr>
    </w:p>
    <w:sectPr w:rsidR="00CC329A" w:rsidRPr="000177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C0B29" w14:textId="77777777" w:rsidR="00BD3420" w:rsidRDefault="00BD3420" w:rsidP="00195441">
      <w:pPr>
        <w:spacing w:after="0" w:line="240" w:lineRule="auto"/>
      </w:pPr>
      <w:r>
        <w:separator/>
      </w:r>
    </w:p>
  </w:endnote>
  <w:endnote w:type="continuationSeparator" w:id="0">
    <w:p w14:paraId="495BFED2" w14:textId="77777777" w:rsidR="00BD3420" w:rsidRDefault="00BD3420" w:rsidP="00195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C03E9" w14:textId="77777777" w:rsidR="00BD3420" w:rsidRDefault="00BD3420" w:rsidP="00195441">
      <w:pPr>
        <w:spacing w:after="0" w:line="240" w:lineRule="auto"/>
      </w:pPr>
      <w:r>
        <w:separator/>
      </w:r>
    </w:p>
  </w:footnote>
  <w:footnote w:type="continuationSeparator" w:id="0">
    <w:p w14:paraId="46267330" w14:textId="77777777" w:rsidR="00BD3420" w:rsidRDefault="00BD3420" w:rsidP="001954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D51"/>
    <w:rsid w:val="0001771F"/>
    <w:rsid w:val="00195441"/>
    <w:rsid w:val="00227B47"/>
    <w:rsid w:val="00236DCC"/>
    <w:rsid w:val="002B27FE"/>
    <w:rsid w:val="003A3D0F"/>
    <w:rsid w:val="004822C2"/>
    <w:rsid w:val="004F3A6B"/>
    <w:rsid w:val="00591D51"/>
    <w:rsid w:val="005F7C5A"/>
    <w:rsid w:val="00637216"/>
    <w:rsid w:val="006602D7"/>
    <w:rsid w:val="0090725D"/>
    <w:rsid w:val="00A11EAB"/>
    <w:rsid w:val="00BD3420"/>
    <w:rsid w:val="00C20CD8"/>
    <w:rsid w:val="00C30190"/>
    <w:rsid w:val="00C3257A"/>
    <w:rsid w:val="00C75D8E"/>
    <w:rsid w:val="00C7700F"/>
    <w:rsid w:val="00CC329A"/>
    <w:rsid w:val="00CF22BD"/>
    <w:rsid w:val="00D777D2"/>
    <w:rsid w:val="00EA5411"/>
    <w:rsid w:val="00EF3116"/>
    <w:rsid w:val="00F2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C248F"/>
  <w15:chartTrackingRefBased/>
  <w15:docId w15:val="{DA00907A-FB31-40E2-B7C4-B83E00C87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M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91D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91D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91D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91D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91D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91D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91D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91D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91D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91D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91D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91D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91D5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91D5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91D5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91D5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91D5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91D5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91D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91D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91D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91D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91D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91D5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91D5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91D5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91D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91D5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91D51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9072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1954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95441"/>
  </w:style>
  <w:style w:type="paragraph" w:styleId="Pieddepage">
    <w:name w:val="footer"/>
    <w:basedOn w:val="Normal"/>
    <w:link w:val="PieddepageCar"/>
    <w:uiPriority w:val="99"/>
    <w:unhideWhenUsed/>
    <w:rsid w:val="001954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95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1300</Words>
  <Characters>7152</Characters>
  <Application>Microsoft Office Word</Application>
  <DocSecurity>0</DocSecurity>
  <Lines>59</Lines>
  <Paragraphs>16</Paragraphs>
  <ScaleCrop>false</ScaleCrop>
  <Company/>
  <LinksUpToDate>false</LinksUpToDate>
  <CharactersWithSpaces>8436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med_medjh@outlook.com</dc:creator>
  <cp:keywords/>
  <dc:description/>
  <cp:lastModifiedBy>med_medjh@outlook.com</cp:lastModifiedBy>
  <cp:revision>12</cp:revision>
  <dcterms:created xsi:type="dcterms:W3CDTF">2026-01-21T21:29:00Z</dcterms:created>
  <dcterms:modified xsi:type="dcterms:W3CDTF">2026-04-22T23:40:00Z</dcterms:modified>
</cp:coreProperties>
</file>