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12633" w14:textId="77777777" w:rsidR="002E5118" w:rsidRPr="002E5118" w:rsidRDefault="002E5118" w:rsidP="002E5118">
      <w:pPr>
        <w:jc w:val="center"/>
        <w:rPr>
          <w:rFonts w:ascii="Times New Roman" w:eastAsiaTheme="majorEastAsia" w:hAnsi="Times New Roman" w:cstheme="majorBidi"/>
          <w:b/>
          <w:color w:val="000000" w:themeColor="text1"/>
          <w:sz w:val="28"/>
          <w:szCs w:val="28"/>
          <w:u w:val="single"/>
        </w:rPr>
      </w:pPr>
      <w:r w:rsidRPr="002E5118">
        <w:rPr>
          <w:rFonts w:ascii="Times New Roman" w:eastAsiaTheme="majorEastAsia" w:hAnsi="Times New Roman" w:cstheme="majorBidi"/>
          <w:b/>
          <w:bCs/>
          <w:color w:val="000000" w:themeColor="text1"/>
          <w:sz w:val="28"/>
          <w:szCs w:val="28"/>
          <w:u w:val="single"/>
        </w:rPr>
        <w:t>Supplementary Materials</w:t>
      </w:r>
    </w:p>
    <w:p w14:paraId="31BFC867" w14:textId="77777777" w:rsidR="00D40D47" w:rsidRPr="007E1619" w:rsidRDefault="00D40D47" w:rsidP="00D40D47"/>
    <w:p w14:paraId="68315716" w14:textId="77BC4B85" w:rsidR="001A0573" w:rsidRPr="001A0573" w:rsidRDefault="008E7C51" w:rsidP="001A0573">
      <w:pPr>
        <w:spacing w:before="120" w:after="60"/>
        <w:jc w:val="center"/>
        <w:rPr>
          <w:rFonts w:ascii="Times New Roman" w:eastAsia="Times New Roman" w:hAnsi="Times New Roman" w:cs="Times New Roman"/>
          <w:color w:val="000000"/>
          <w:sz w:val="24"/>
          <w:szCs w:val="24"/>
        </w:rPr>
      </w:pPr>
      <w:r w:rsidRPr="008E7C51">
        <w:rPr>
          <w:rFonts w:ascii="Times New Roman" w:eastAsia="Times New Roman" w:hAnsi="Times New Roman" w:cs="Times New Roman"/>
          <w:b/>
          <w:bCs/>
          <w:color w:val="000000"/>
          <w:sz w:val="24"/>
          <w:szCs w:val="24"/>
        </w:rPr>
        <w:t>Supplementary Table S1</w:t>
      </w:r>
      <w:r w:rsidR="001A0573" w:rsidRPr="001A0573">
        <w:rPr>
          <w:rFonts w:ascii="Times New Roman" w:eastAsia="Times New Roman" w:hAnsi="Times New Roman" w:cs="Times New Roman"/>
          <w:b/>
          <w:bCs/>
          <w:color w:val="000000"/>
          <w:sz w:val="24"/>
          <w:szCs w:val="24"/>
        </w:rPr>
        <w:t xml:space="preserve">. </w:t>
      </w:r>
      <w:r w:rsidR="001A0573" w:rsidRPr="001A0573">
        <w:rPr>
          <w:rFonts w:ascii="Times New Roman" w:eastAsia="Times New Roman" w:hAnsi="Times New Roman" w:cs="Times New Roman"/>
          <w:color w:val="000000"/>
          <w:sz w:val="24"/>
          <w:szCs w:val="24"/>
        </w:rPr>
        <w:t>Sample size estimation using reference proportions for key variables associated with MDR-TB treatment interruption at Saint Peter Specialized Hospital, Addis Ababa, Ethiopia, 2025.</w:t>
      </w:r>
    </w:p>
    <w:p w14:paraId="1167394B" w14:textId="77777777" w:rsidR="001A0573" w:rsidRPr="001A0573" w:rsidRDefault="001A0573" w:rsidP="001A0573">
      <w:pPr>
        <w:spacing w:before="80" w:after="0" w:line="240" w:lineRule="auto"/>
        <w:jc w:val="both"/>
        <w:rPr>
          <w:rFonts w:ascii="Times New Roman" w:eastAsia="Times New Roman" w:hAnsi="Times New Roman" w:cs="Times New Roman"/>
          <w:color w:val="000000"/>
        </w:rPr>
      </w:pPr>
    </w:p>
    <w:tbl>
      <w:tblPr>
        <w:tblW w:w="10720"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33"/>
        <w:gridCol w:w="2323"/>
        <w:gridCol w:w="2233"/>
        <w:gridCol w:w="1210"/>
        <w:gridCol w:w="2721"/>
      </w:tblGrid>
      <w:tr w:rsidR="00537EA5" w:rsidRPr="00537EA5" w14:paraId="3FA7C287" w14:textId="77777777" w:rsidTr="007D61FE">
        <w:trPr>
          <w:trHeight w:val="410"/>
          <w:tblHeader/>
        </w:trPr>
        <w:tc>
          <w:tcPr>
            <w:tcW w:w="2233" w:type="dxa"/>
            <w:tcBorders>
              <w:top w:val="single" w:sz="1" w:space="0" w:color="AAAAAA"/>
              <w:left w:val="single" w:sz="1" w:space="0" w:color="AAAAAA"/>
              <w:bottom w:val="single" w:sz="1" w:space="0" w:color="AAAAAA"/>
              <w:right w:val="single" w:sz="1" w:space="0" w:color="AAAAAA"/>
            </w:tcBorders>
            <w:shd w:val="clear" w:color="auto" w:fill="F2F2F2"/>
            <w:tcMar>
              <w:top w:w="70" w:type="dxa"/>
              <w:left w:w="100" w:type="dxa"/>
              <w:bottom w:w="70" w:type="dxa"/>
              <w:right w:w="100" w:type="dxa"/>
            </w:tcMar>
            <w:vAlign w:val="center"/>
          </w:tcPr>
          <w:p w14:paraId="554AB7A7"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b/>
                <w:bCs/>
                <w:color w:val="000000"/>
                <w:kern w:val="2"/>
                <w:sz w:val="24"/>
                <w:szCs w:val="24"/>
                <w14:ligatures w14:val="standardContextual"/>
              </w:rPr>
              <w:t>Variable</w:t>
            </w:r>
          </w:p>
        </w:tc>
        <w:tc>
          <w:tcPr>
            <w:tcW w:w="2323" w:type="dxa"/>
            <w:tcBorders>
              <w:top w:val="single" w:sz="1" w:space="0" w:color="AAAAAA"/>
              <w:left w:val="single" w:sz="1" w:space="0" w:color="AAAAAA"/>
              <w:bottom w:val="single" w:sz="1" w:space="0" w:color="AAAAAA"/>
              <w:right w:val="single" w:sz="1" w:space="0" w:color="AAAAAA"/>
            </w:tcBorders>
            <w:shd w:val="clear" w:color="auto" w:fill="F2F2F2"/>
            <w:tcMar>
              <w:top w:w="70" w:type="dxa"/>
              <w:left w:w="100" w:type="dxa"/>
              <w:bottom w:w="70" w:type="dxa"/>
              <w:right w:w="100" w:type="dxa"/>
            </w:tcMar>
            <w:vAlign w:val="center"/>
          </w:tcPr>
          <w:p w14:paraId="2E74637D"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b/>
                <w:bCs/>
                <w:color w:val="000000"/>
                <w:kern w:val="2"/>
                <w:sz w:val="24"/>
                <w:szCs w:val="24"/>
                <w14:ligatures w14:val="standardContextual"/>
              </w:rPr>
              <w:t>Proportion among Cases (%)</w:t>
            </w:r>
          </w:p>
        </w:tc>
        <w:tc>
          <w:tcPr>
            <w:tcW w:w="2233" w:type="dxa"/>
            <w:tcBorders>
              <w:top w:val="single" w:sz="1" w:space="0" w:color="AAAAAA"/>
              <w:left w:val="single" w:sz="1" w:space="0" w:color="AAAAAA"/>
              <w:bottom w:val="single" w:sz="1" w:space="0" w:color="AAAAAA"/>
              <w:right w:val="single" w:sz="1" w:space="0" w:color="AAAAAA"/>
            </w:tcBorders>
            <w:shd w:val="clear" w:color="auto" w:fill="F2F2F2"/>
            <w:tcMar>
              <w:top w:w="70" w:type="dxa"/>
              <w:left w:w="100" w:type="dxa"/>
              <w:bottom w:w="70" w:type="dxa"/>
              <w:right w:w="100" w:type="dxa"/>
            </w:tcMar>
            <w:vAlign w:val="center"/>
          </w:tcPr>
          <w:p w14:paraId="42197E17"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b/>
                <w:bCs/>
                <w:color w:val="000000"/>
                <w:kern w:val="2"/>
                <w:sz w:val="24"/>
                <w:szCs w:val="24"/>
                <w14:ligatures w14:val="standardContextual"/>
              </w:rPr>
              <w:t>Proportion among Controls (%)</w:t>
            </w:r>
          </w:p>
        </w:tc>
        <w:tc>
          <w:tcPr>
            <w:tcW w:w="1210" w:type="dxa"/>
            <w:tcBorders>
              <w:top w:val="single" w:sz="1" w:space="0" w:color="AAAAAA"/>
              <w:left w:val="single" w:sz="1" w:space="0" w:color="AAAAAA"/>
              <w:bottom w:val="single" w:sz="1" w:space="0" w:color="AAAAAA"/>
              <w:right w:val="single" w:sz="1" w:space="0" w:color="AAAAAA"/>
            </w:tcBorders>
            <w:shd w:val="clear" w:color="auto" w:fill="F2F2F2"/>
            <w:tcMar>
              <w:top w:w="70" w:type="dxa"/>
              <w:left w:w="100" w:type="dxa"/>
              <w:bottom w:w="70" w:type="dxa"/>
              <w:right w:w="100" w:type="dxa"/>
            </w:tcMar>
            <w:vAlign w:val="center"/>
          </w:tcPr>
          <w:p w14:paraId="6706FD5D"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b/>
                <w:bCs/>
                <w:color w:val="000000"/>
                <w:kern w:val="2"/>
                <w:sz w:val="24"/>
                <w:szCs w:val="24"/>
                <w14:ligatures w14:val="standardContextual"/>
              </w:rPr>
              <w:t>Sample Size</w:t>
            </w:r>
          </w:p>
        </w:tc>
        <w:tc>
          <w:tcPr>
            <w:tcW w:w="2721" w:type="dxa"/>
            <w:tcBorders>
              <w:top w:val="single" w:sz="1" w:space="0" w:color="AAAAAA"/>
              <w:left w:val="single" w:sz="1" w:space="0" w:color="AAAAAA"/>
              <w:bottom w:val="single" w:sz="1" w:space="0" w:color="AAAAAA"/>
              <w:right w:val="single" w:sz="1" w:space="0" w:color="AAAAAA"/>
            </w:tcBorders>
            <w:shd w:val="clear" w:color="auto" w:fill="F2F2F2"/>
            <w:tcMar>
              <w:top w:w="70" w:type="dxa"/>
              <w:left w:w="100" w:type="dxa"/>
              <w:bottom w:w="70" w:type="dxa"/>
              <w:right w:w="100" w:type="dxa"/>
            </w:tcMar>
            <w:vAlign w:val="center"/>
          </w:tcPr>
          <w:p w14:paraId="1232BDCB"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b/>
                <w:bCs/>
                <w:color w:val="000000"/>
                <w:kern w:val="2"/>
                <w:sz w:val="24"/>
                <w:szCs w:val="24"/>
                <w14:ligatures w14:val="standardContextual"/>
              </w:rPr>
              <w:t>Source Reference</w:t>
            </w:r>
          </w:p>
        </w:tc>
      </w:tr>
      <w:tr w:rsidR="00537EA5" w:rsidRPr="00537EA5" w14:paraId="1D57DA13" w14:textId="77777777" w:rsidTr="007D61FE">
        <w:trPr>
          <w:trHeight w:val="399"/>
        </w:trPr>
        <w:tc>
          <w:tcPr>
            <w:tcW w:w="2233"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21DE8E36"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 xml:space="preserve">Alcohol drinking </w:t>
            </w:r>
          </w:p>
        </w:tc>
        <w:tc>
          <w:tcPr>
            <w:tcW w:w="2323"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720266EF"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15.25</w:t>
            </w:r>
          </w:p>
        </w:tc>
        <w:tc>
          <w:tcPr>
            <w:tcW w:w="2233"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6133DD4D"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3.65</w:t>
            </w:r>
          </w:p>
        </w:tc>
        <w:tc>
          <w:tcPr>
            <w:tcW w:w="1210"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1DBDC431"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267</w:t>
            </w:r>
          </w:p>
        </w:tc>
        <w:tc>
          <w:tcPr>
            <w:tcW w:w="2721"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141C50E3"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 xml:space="preserve">Mwai et al., 2022 </w:t>
            </w:r>
            <w:r w:rsidRPr="00537EA5">
              <w:rPr>
                <w:rFonts w:ascii="Times New Roman" w:eastAsia="Times New Roman" w:hAnsi="Times New Roman" w:cs="Times New Roman"/>
                <w:color w:val="000000"/>
                <w:kern w:val="2"/>
                <w:sz w:val="24"/>
                <w:szCs w:val="24"/>
                <w14:ligatures w14:val="standardContextual"/>
              </w:rPr>
              <w:fldChar w:fldCharType="begin" w:fldLock="1"/>
            </w:r>
            <w:r w:rsidRPr="00537EA5">
              <w:rPr>
                <w:rFonts w:ascii="Times New Roman" w:eastAsia="Times New Roman" w:hAnsi="Times New Roman" w:cs="Times New Roman"/>
                <w:color w:val="000000"/>
                <w:kern w:val="2"/>
                <w:sz w:val="24"/>
                <w:szCs w:val="24"/>
                <w14:ligatures w14:val="standardContextual"/>
              </w:rPr>
              <w:instrText>ADDIN CSL_CITATION {"citationItems":[{"id":"ITEM-1","itemData":{"DOI":"10.35942/ijcab.v6i2.269","ISSN":"2616-6976","abstract":"Tuberculosis (TB) is an airborne disease which is highly transmissible from one person to another. The transmission occurs through airborne particles which are released when an infected person coughs, sneezes, spits, laughs or shouts. The re-emergence of tuberculosis has become a major problem in the world of public health. Estimates project that at least a third of the global human population has the tubercle bacillus where 9 million of these progress to active form of tuberculosis annually, and 2 million succumb to the disease in the same period. HIV prevalence in the African resulted in a sharp rise in TB cases incidence in 2003. The general objective of the research is to establish determinants of treatment interruption among pulmonary tuberculosis patients from various health facilities in Embu County, which the researcher the researcher found by studying the socio-demographic features, socio-economic and behavioral determinants of the patients and also assessing the health care issues that could be contributing to the treatment interruption of TB patients. The researcher used retrospective causal study design method to determine how the various independent variables (determinants) affect the dependent variable. The study used a two-stage sampling where each selected facility will be considered as a cluster. In the first stage, stratified random sampling was used, while in the second stage a systematic sampling method was used to select every nth record from the files in the selected health facilities from the first stage. Probability proportionate to size sampling was employed in the second stage to determine the number of records to be sampled in each health facility. The tool of choice in this study will be the questionnaire which will be subjected to validity and reliability tests before deployment. The data was collected, and analyzed using Epi info. The analysis included descriptive analysis for the variables in the dataset, followed by logistic regression to determine the odds ratio of each factor in its effect to the dependent variable (treatment interruption).","author":[{"dropping-particle":"","family":"Mwai","given":"Martha","non-dropping-particle":"","parse-names":false,"suffix":""},{"dropping-particle":"","family":"Matiangi","given":"M","non-dropping-particle":"","parse-names":false,"suffix":""},{"dropping-particle":"","family":"Keraka","given":"M","non-dropping-particle":"","parse-names":false,"suffix":""},{"dropping-particle":"","family":"Njuhigu","given":"E","non-dropping-particle":"","parse-names":false,"suffix":""}],"container-title":"International Journal of Current Aspects","id":"ITEM-1","issue":"2","issued":{"date-parts":[["2022","8","13"]]},"page":"41-56","title":"Determinants of Treatment Interruption among Pulmonary Tuberculosis Patients in Select Health Facilities in Embu County, Kenya","type":"article-journal","volume":"6"},"uris":["http://www.mendeley.com/documents/?uuid=e5ff9696-6dcc-420f-8ba3-4cc991c2dcd6"]}],"mendeley":{"formattedCitation":"(10)","plainTextFormattedCitation":"(10)","previouslyFormattedCitation":"(10)"},"properties":{"noteIndex":0},"schema":"https://github.com/citation-style-language/schema/raw/master/csl-citation.json"}</w:instrText>
            </w:r>
            <w:r w:rsidRPr="00537EA5">
              <w:rPr>
                <w:rFonts w:ascii="Times New Roman" w:eastAsia="Times New Roman" w:hAnsi="Times New Roman" w:cs="Times New Roman"/>
                <w:color w:val="000000"/>
                <w:kern w:val="2"/>
                <w:sz w:val="24"/>
                <w:szCs w:val="24"/>
                <w14:ligatures w14:val="standardContextual"/>
              </w:rPr>
              <w:fldChar w:fldCharType="separate"/>
            </w:r>
            <w:r w:rsidRPr="00537EA5">
              <w:rPr>
                <w:rFonts w:ascii="Times New Roman" w:eastAsia="Times New Roman" w:hAnsi="Times New Roman" w:cs="Times New Roman"/>
                <w:noProof/>
                <w:color w:val="000000"/>
                <w:kern w:val="2"/>
                <w:sz w:val="24"/>
                <w:szCs w:val="24"/>
                <w14:ligatures w14:val="standardContextual"/>
              </w:rPr>
              <w:t>(10)</w:t>
            </w:r>
            <w:r w:rsidRPr="00537EA5">
              <w:rPr>
                <w:rFonts w:ascii="Times New Roman" w:eastAsia="Times New Roman" w:hAnsi="Times New Roman" w:cs="Times New Roman"/>
                <w:color w:val="000000"/>
                <w:kern w:val="2"/>
                <w:sz w:val="24"/>
                <w:szCs w:val="24"/>
                <w14:ligatures w14:val="standardContextual"/>
              </w:rPr>
              <w:fldChar w:fldCharType="end"/>
            </w:r>
            <w:r w:rsidRPr="00537EA5">
              <w:rPr>
                <w:rFonts w:ascii="Times New Roman" w:eastAsia="Times New Roman" w:hAnsi="Times New Roman" w:cs="Times New Roman"/>
                <w:color w:val="000000"/>
                <w:kern w:val="2"/>
                <w:sz w:val="24"/>
                <w:szCs w:val="24"/>
                <w14:ligatures w14:val="standardContextual"/>
              </w:rPr>
              <w:t>.</w:t>
            </w:r>
          </w:p>
        </w:tc>
      </w:tr>
      <w:tr w:rsidR="00537EA5" w:rsidRPr="00537EA5" w14:paraId="21AC0429" w14:textId="77777777" w:rsidTr="007D61FE">
        <w:trPr>
          <w:trHeight w:val="410"/>
        </w:trPr>
        <w:tc>
          <w:tcPr>
            <w:tcW w:w="2233"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4E55DAED"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Drug side effect</w:t>
            </w:r>
          </w:p>
        </w:tc>
        <w:tc>
          <w:tcPr>
            <w:tcW w:w="2323"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4EBC8FA3"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73.75</w:t>
            </w:r>
          </w:p>
        </w:tc>
        <w:tc>
          <w:tcPr>
            <w:tcW w:w="2233"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32DF3C61"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63.6</w:t>
            </w:r>
          </w:p>
        </w:tc>
        <w:tc>
          <w:tcPr>
            <w:tcW w:w="1210"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391C18C0"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856</w:t>
            </w:r>
          </w:p>
        </w:tc>
        <w:tc>
          <w:tcPr>
            <w:tcW w:w="2721"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05EE4A7B"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proofErr w:type="spellStart"/>
            <w:r w:rsidRPr="00537EA5">
              <w:rPr>
                <w:rFonts w:ascii="Times New Roman" w:eastAsia="Times New Roman" w:hAnsi="Times New Roman" w:cs="Times New Roman"/>
                <w:color w:val="000000"/>
                <w:kern w:val="2"/>
                <w:sz w:val="24"/>
                <w:szCs w:val="24"/>
                <w14:ligatures w14:val="standardContextual"/>
              </w:rPr>
              <w:t>Merid</w:t>
            </w:r>
            <w:proofErr w:type="spellEnd"/>
            <w:r w:rsidRPr="00537EA5">
              <w:rPr>
                <w:rFonts w:ascii="Times New Roman" w:eastAsia="Times New Roman" w:hAnsi="Times New Roman" w:cs="Times New Roman"/>
                <w:color w:val="000000"/>
                <w:kern w:val="2"/>
                <w:sz w:val="24"/>
                <w:szCs w:val="24"/>
                <w14:ligatures w14:val="standardContextual"/>
              </w:rPr>
              <w:t xml:space="preserve"> et al., 2020 </w:t>
            </w:r>
            <w:r w:rsidRPr="00537EA5">
              <w:rPr>
                <w:rFonts w:ascii="Times New Roman" w:eastAsia="Times New Roman" w:hAnsi="Times New Roman" w:cs="Times New Roman"/>
                <w:color w:val="000000"/>
                <w:kern w:val="2"/>
                <w:sz w:val="24"/>
                <w:szCs w:val="24"/>
                <w14:ligatures w14:val="standardContextual"/>
              </w:rPr>
              <w:fldChar w:fldCharType="begin" w:fldLock="1"/>
            </w:r>
            <w:r w:rsidRPr="00537EA5">
              <w:rPr>
                <w:rFonts w:ascii="Times New Roman" w:eastAsia="Times New Roman" w:hAnsi="Times New Roman" w:cs="Times New Roman"/>
                <w:color w:val="000000"/>
                <w:kern w:val="2"/>
                <w:sz w:val="24"/>
                <w:szCs w:val="24"/>
                <w14:ligatures w14:val="standardContextual"/>
              </w:rPr>
              <w:instrText>ADDIN CSL_CITATION {"citationItems":[{"id":"ITEM-1","itemData":{"DOI":"10.1371/journal.pone.0240564","ISSN":"19326203","PMID":"33052983","abstract":"Background Drug-Resistant Tuberculosis (DR-TB) is a rising threat of the TB control program caused mainly by treatment interruption in Ethiopia. The success of the current treatment regimen for DR-TB is poor partly due to a high treatment interruption rate. Thus, this study assessed treatment interruption and associated factors among DR-TB patients. Methods An institution-based cross-sectional study was conducted among 550 DR-TB patients who have initiated treatment from September 2010 to December 2017. Data were entered using Epi Data version 4.200 and exported to STATA version 14 for analysis. A bi-variable logistic regression model was first fitted, and variables having a p-value &lt; 0.2 in the bi-variable analysis were entered into the multivariable logistic regression model. Crude and Adjusted Odds Ratios (COR and AOR) with 95% confidence interval (CI) were used to determine the strength of association between the treatment interruption and independent variables. Variables with p-value &lt;0.05 in the multi-variable model were considered as statistically significant predictors of treatment interruption. Results In this study, the prevalence of treatment interruption among patients registered on DR-TB treatment was 14.55% (95% CI: 11.83, 17.76). Of the interrupters, the treatment interruption during the intensive and continuation phase of treatment was reported as 45% and 71.25%, respectively. Similarly, about 15% of patients had treatment interruption both during the intensive and continuation phase of treatment. The average duration of treatment interruption was 12 (±2.03 SD) and 6 (±1.2 SD) days during the intensive and continuation phase of treatment, respectively. Patients who had no treatment supporter [AOR = 1.45; 95% CI: 1.23–3.66] and developed adverse drug events [AOR = 1.60; 95% CI: 1.22–2.85] were statistically significant predictors of treatment interruption. Conclusions Treatment interruption was low in the study setting. The presence of treatment supporter and absence of drug side effects was significantly associated with decreased occurrence of treatment interruption. Thus, patient linkage to treatment supporter and excellent pharmacovigilance are highly recommended in the study setting.","author":[{"dropping-particle":"","family":"Merid","given":"Mehari Woldemariam","non-dropping-particle":"","parse-names":false,"suffix":""},{"dropping-particle":"","family":"Muluneh","given":"Atalay Goshu","non-dropping-particle":"","parse-names":false,"suffix":""},{"dropping-particle":"","family":"Yenit","given":"Melaku Kindie","non-dropping-particle":"","parse-names":false,"suffix":""},{"dropping-particle":"","family":"Kassa","given":"Getahun Molla","non-dropping-particle":"","parse-names":false,"suffix":""}],"container-title":"PLoS ONE","editor":[{"dropping-particle":"","family":"Quinn","given":"Frederick","non-dropping-particle":"","parse-names":false,"suffix":""}],"id":"ITEM-1","issue":"10 October","issued":{"date-parts":[["2020","10","14"]]},"page":"e0240564","title":"Treatment interruption and associated factors among patients registered on drug-resistant tuberculosis treatment in Amhara regional state, Ethiopia: 2010–2017","type":"article-journal","volume":"15"},"uris":["http://www.mendeley.com/documents/?uuid=32d9140e-374a-47fe-8668-8452e87e0be4"]}],"mendeley":{"formattedCitation":"(14)","plainTextFormattedCitation":"(14)","previouslyFormattedCitation":"(14)"},"properties":{"noteIndex":0},"schema":"https://github.com/citation-style-language/schema/raw/master/csl-citation.json"}</w:instrText>
            </w:r>
            <w:r w:rsidRPr="00537EA5">
              <w:rPr>
                <w:rFonts w:ascii="Times New Roman" w:eastAsia="Times New Roman" w:hAnsi="Times New Roman" w:cs="Times New Roman"/>
                <w:color w:val="000000"/>
                <w:kern w:val="2"/>
                <w:sz w:val="24"/>
                <w:szCs w:val="24"/>
                <w14:ligatures w14:val="standardContextual"/>
              </w:rPr>
              <w:fldChar w:fldCharType="separate"/>
            </w:r>
            <w:r w:rsidRPr="00537EA5">
              <w:rPr>
                <w:rFonts w:ascii="Times New Roman" w:eastAsia="Times New Roman" w:hAnsi="Times New Roman" w:cs="Times New Roman"/>
                <w:noProof/>
                <w:color w:val="000000"/>
                <w:kern w:val="2"/>
                <w:sz w:val="24"/>
                <w:szCs w:val="24"/>
                <w14:ligatures w14:val="standardContextual"/>
              </w:rPr>
              <w:t>(14)</w:t>
            </w:r>
            <w:r w:rsidRPr="00537EA5">
              <w:rPr>
                <w:rFonts w:ascii="Times New Roman" w:eastAsia="Times New Roman" w:hAnsi="Times New Roman" w:cs="Times New Roman"/>
                <w:color w:val="000000"/>
                <w:kern w:val="2"/>
                <w:sz w:val="24"/>
                <w:szCs w:val="24"/>
                <w14:ligatures w14:val="standardContextual"/>
              </w:rPr>
              <w:fldChar w:fldCharType="end"/>
            </w:r>
            <w:r w:rsidRPr="00537EA5">
              <w:rPr>
                <w:rFonts w:ascii="Times New Roman" w:eastAsia="Times New Roman" w:hAnsi="Times New Roman" w:cs="Times New Roman"/>
                <w:color w:val="000000"/>
                <w:kern w:val="2"/>
                <w:sz w:val="24"/>
                <w:szCs w:val="24"/>
                <w14:ligatures w14:val="standardContextual"/>
              </w:rPr>
              <w:t>.</w:t>
            </w:r>
          </w:p>
        </w:tc>
      </w:tr>
      <w:tr w:rsidR="00537EA5" w:rsidRPr="00537EA5" w14:paraId="0E4DC041" w14:textId="77777777" w:rsidTr="007D61FE">
        <w:trPr>
          <w:trHeight w:val="410"/>
        </w:trPr>
        <w:tc>
          <w:tcPr>
            <w:tcW w:w="2233"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5F286A91"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TB/HIV co-infection</w:t>
            </w:r>
          </w:p>
        </w:tc>
        <w:tc>
          <w:tcPr>
            <w:tcW w:w="2323"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2C8D1611"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37.8</w:t>
            </w:r>
          </w:p>
        </w:tc>
        <w:tc>
          <w:tcPr>
            <w:tcW w:w="2233"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3B945867"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16.16</w:t>
            </w:r>
          </w:p>
        </w:tc>
        <w:tc>
          <w:tcPr>
            <w:tcW w:w="1210"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4510332C" w14:textId="77777777" w:rsidR="00537EA5" w:rsidRPr="00537EA5" w:rsidRDefault="00537EA5" w:rsidP="00537EA5">
            <w:pPr>
              <w:spacing w:before="120" w:after="0" w:line="240" w:lineRule="auto"/>
              <w:jc w:val="center"/>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175</w:t>
            </w:r>
          </w:p>
        </w:tc>
        <w:tc>
          <w:tcPr>
            <w:tcW w:w="2721" w:type="dxa"/>
            <w:tcBorders>
              <w:top w:val="single" w:sz="1" w:space="0" w:color="AAAAAA"/>
              <w:left w:val="single" w:sz="1" w:space="0" w:color="AAAAAA"/>
              <w:bottom w:val="single" w:sz="1" w:space="0" w:color="AAAAAA"/>
              <w:right w:val="single" w:sz="1" w:space="0" w:color="AAAAAA"/>
            </w:tcBorders>
            <w:shd w:val="clear" w:color="auto" w:fill="auto"/>
            <w:tcMar>
              <w:top w:w="70" w:type="dxa"/>
              <w:left w:w="100" w:type="dxa"/>
              <w:bottom w:w="70" w:type="dxa"/>
              <w:right w:w="100" w:type="dxa"/>
            </w:tcMar>
            <w:vAlign w:val="center"/>
          </w:tcPr>
          <w:p w14:paraId="1987EAF7" w14:textId="77777777" w:rsidR="00537EA5" w:rsidRPr="00537EA5" w:rsidRDefault="00537EA5" w:rsidP="00537EA5">
            <w:pPr>
              <w:spacing w:before="120" w:after="0" w:line="240" w:lineRule="auto"/>
              <w:jc w:val="both"/>
              <w:rPr>
                <w:rFonts w:ascii="Times New Roman" w:eastAsia="Times New Roman" w:hAnsi="Times New Roman" w:cs="Times New Roman"/>
                <w:color w:val="000000"/>
                <w:kern w:val="2"/>
                <w:sz w:val="24"/>
                <w:szCs w:val="24"/>
                <w14:ligatures w14:val="standardContextual"/>
              </w:rPr>
            </w:pPr>
            <w:r w:rsidRPr="00537EA5">
              <w:rPr>
                <w:rFonts w:ascii="Times New Roman" w:eastAsia="Times New Roman" w:hAnsi="Times New Roman" w:cs="Times New Roman"/>
                <w:color w:val="000000"/>
                <w:kern w:val="2"/>
                <w:sz w:val="24"/>
                <w:szCs w:val="24"/>
                <w14:ligatures w14:val="standardContextual"/>
              </w:rPr>
              <w:t xml:space="preserve">Workie et al., 2021 </w:t>
            </w:r>
            <w:r w:rsidRPr="00537EA5">
              <w:rPr>
                <w:rFonts w:ascii="Times New Roman" w:eastAsia="Times New Roman" w:hAnsi="Times New Roman" w:cs="Times New Roman"/>
                <w:color w:val="000000"/>
                <w:kern w:val="2"/>
                <w:sz w:val="24"/>
                <w:szCs w:val="24"/>
                <w14:ligatures w14:val="standardContextual"/>
              </w:rPr>
              <w:fldChar w:fldCharType="begin" w:fldLock="1"/>
            </w:r>
            <w:r w:rsidRPr="00537EA5">
              <w:rPr>
                <w:rFonts w:ascii="Times New Roman" w:eastAsia="Times New Roman" w:hAnsi="Times New Roman" w:cs="Times New Roman"/>
                <w:color w:val="000000"/>
                <w:kern w:val="2"/>
                <w:sz w:val="24"/>
                <w:szCs w:val="24"/>
                <w14:ligatures w14:val="standardContextual"/>
              </w:rPr>
              <w:instrText>ADDIN CSL_CITATION {"citationItems":[{"id":"ITEM-1","itemData":{"DOI":"10.2147/PPA.S307091","ISSN":"1177889X","abstract":"Background: Tuberculosis treatment interruption is a failure of attending two scheduled appointments to collect the drugs in either phase of tuberculosis treatment. Even if TB treatment is crucial to achieve a cure and avoid the emergence of drug resistance, treatment interruption is the most testing and deterring factor for successful tuberculosis treatment and one of the problems leading to the development of drug-resistant tuberculosis. TB treatment interruption is the precursor for loss to follow-up and treatment failure, but the magnitude of this problem is unknown in Ethiopia. Thus, this study was intended to identify determinants of treatment interruption among drug-susceptible pulmonary tuberculosis patients in South Ari district, Southern Ethiopia. Methods: An institution-based unmatched case control study was conducted from February through April 2020 using 255 samples with a ratio of 2:1 (controls to cases). Data were entered into Epi data version 4.2 and exported for analysis using STATA 14.0 statistical software. The variables having a p-value of less than 0.25 in the bivariable analysis were subjected to multivariable logistic regression analysis. In multivariable logistic regression analysis, AORs, 95% CIs, and p-values of &lt;0.05 were used to identify significant variables. Results: The median age was 34 (IQR: 18) years in cases and 29 (IQR: 16) years in control groups. Significant factors that were associated with treatment interruption were alcohol consumption (AOR = 2.99, 95% CI; 1.41–6.36); smoking habits (AOR = 2.82, 95% CI; 1.14–6.94); use of traditional medicine (AOR = 2.35, 95% CI 1.05–5.24); co-infected with HIV (AOR=1.58, 95% CI; 1.85–4.29), and waiting time at the health facility ≥30 minutes (AOR = 2.98, 95% CI; 1.31–6.80). Conclusion: Alcohol consumption, waiting time at the health facility ≥30 minutes, smoking habits, used traditional medicine, and HIV co-infected were potential determinants. Enhancing public health education, designing strategies that emphasize patients with HIV co-infection, and reducing waiting times are recommended.","author":[{"dropping-particle":"","family":"Workie","given":"Moges Getie","non-dropping-particle":"","parse-names":false,"suffix":""},{"dropping-particle":"","family":"Aycheh","given":"Moges Wubie","non-dropping-particle":"","parse-names":false,"suffix":""},{"dropping-particle":"","family":"Birhanu","given":"Molla Yigzaw","non-dropping-particle":"","parse-names":false,"suffix":""},{"dropping-particle":"","family":"Tsegaye","given":"Tesfa Birlew","non-dropping-particle":"","parse-names":false,"suffix":""}],"container-title":"Patient Preference and Adherence","id":"ITEM-1","issued":{"date-parts":[["2021","5"]]},"page":"1143-1151","title":"Treatment interruption among drug-susceptible pulmonary tuberculosis patients in southern ethiopia","type":"article-journal","volume":"15"},"uris":["http://www.mendeley.com/documents/?uuid=993924a4-81b1-4471-a6c1-04a9f03a726c"]}],"mendeley":{"formattedCitation":"(22)","plainTextFormattedCitation":"(22)","previouslyFormattedCitation":"(22)"},"properties":{"noteIndex":0},"schema":"https://github.com/citation-style-language/schema/raw/master/csl-citation.json"}</w:instrText>
            </w:r>
            <w:r w:rsidRPr="00537EA5">
              <w:rPr>
                <w:rFonts w:ascii="Times New Roman" w:eastAsia="Times New Roman" w:hAnsi="Times New Roman" w:cs="Times New Roman"/>
                <w:color w:val="000000"/>
                <w:kern w:val="2"/>
                <w:sz w:val="24"/>
                <w:szCs w:val="24"/>
                <w14:ligatures w14:val="standardContextual"/>
              </w:rPr>
              <w:fldChar w:fldCharType="separate"/>
            </w:r>
            <w:r w:rsidRPr="00537EA5">
              <w:rPr>
                <w:rFonts w:ascii="Times New Roman" w:eastAsia="Times New Roman" w:hAnsi="Times New Roman" w:cs="Times New Roman"/>
                <w:noProof/>
                <w:color w:val="000000"/>
                <w:kern w:val="2"/>
                <w:sz w:val="24"/>
                <w:szCs w:val="24"/>
                <w14:ligatures w14:val="standardContextual"/>
              </w:rPr>
              <w:t>(22)</w:t>
            </w:r>
            <w:r w:rsidRPr="00537EA5">
              <w:rPr>
                <w:rFonts w:ascii="Times New Roman" w:eastAsia="Times New Roman" w:hAnsi="Times New Roman" w:cs="Times New Roman"/>
                <w:color w:val="000000"/>
                <w:kern w:val="2"/>
                <w:sz w:val="24"/>
                <w:szCs w:val="24"/>
                <w14:ligatures w14:val="standardContextual"/>
              </w:rPr>
              <w:fldChar w:fldCharType="end"/>
            </w:r>
            <w:r w:rsidRPr="00537EA5">
              <w:rPr>
                <w:rFonts w:ascii="Times New Roman" w:eastAsia="Times New Roman" w:hAnsi="Times New Roman" w:cs="Times New Roman"/>
                <w:color w:val="000000"/>
                <w:kern w:val="2"/>
                <w:sz w:val="24"/>
                <w:szCs w:val="24"/>
                <w14:ligatures w14:val="standardContextual"/>
              </w:rPr>
              <w:t>.</w:t>
            </w:r>
          </w:p>
        </w:tc>
      </w:tr>
    </w:tbl>
    <w:p w14:paraId="6D00BCE7" w14:textId="2897F236" w:rsidR="0047113E" w:rsidRPr="00EE6B58" w:rsidRDefault="0047113E" w:rsidP="00F11C58">
      <w:pPr>
        <w:spacing w:line="360" w:lineRule="auto"/>
        <w:jc w:val="both"/>
        <w:rPr>
          <w:rFonts w:ascii="Times New Roman" w:eastAsia="Times New Roman" w:hAnsi="Times New Roman" w:cs="Times New Roman"/>
          <w:color w:val="0000FF"/>
          <w:sz w:val="24"/>
          <w:szCs w:val="24"/>
          <w:u w:val="single"/>
          <w:lang w:val="en-GB"/>
        </w:rPr>
      </w:pPr>
    </w:p>
    <w:sectPr w:rsidR="0047113E" w:rsidRPr="00EE6B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835E7"/>
    <w:multiLevelType w:val="multilevel"/>
    <w:tmpl w:val="1874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D6C51"/>
    <w:multiLevelType w:val="hybridMultilevel"/>
    <w:tmpl w:val="6994CE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F0256F2"/>
    <w:multiLevelType w:val="multilevel"/>
    <w:tmpl w:val="9C28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6862081">
    <w:abstractNumId w:val="1"/>
  </w:num>
  <w:num w:numId="2" w16cid:durableId="459106949">
    <w:abstractNumId w:val="2"/>
  </w:num>
  <w:num w:numId="3" w16cid:durableId="301471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5B01"/>
    <w:rsid w:val="00017BA7"/>
    <w:rsid w:val="000206C3"/>
    <w:rsid w:val="00041212"/>
    <w:rsid w:val="0005351D"/>
    <w:rsid w:val="00053DF8"/>
    <w:rsid w:val="000702DF"/>
    <w:rsid w:val="00077319"/>
    <w:rsid w:val="000826C2"/>
    <w:rsid w:val="000C3D68"/>
    <w:rsid w:val="000E077B"/>
    <w:rsid w:val="000F3F78"/>
    <w:rsid w:val="00107BB3"/>
    <w:rsid w:val="0011172A"/>
    <w:rsid w:val="00121AB3"/>
    <w:rsid w:val="001236CF"/>
    <w:rsid w:val="0012397C"/>
    <w:rsid w:val="00144264"/>
    <w:rsid w:val="00144FE5"/>
    <w:rsid w:val="00170E42"/>
    <w:rsid w:val="001A0573"/>
    <w:rsid w:val="001B4422"/>
    <w:rsid w:val="001C2CA8"/>
    <w:rsid w:val="001C405B"/>
    <w:rsid w:val="001D2483"/>
    <w:rsid w:val="001D4CDA"/>
    <w:rsid w:val="001E4403"/>
    <w:rsid w:val="001F1396"/>
    <w:rsid w:val="00242975"/>
    <w:rsid w:val="00264FE4"/>
    <w:rsid w:val="002A71D9"/>
    <w:rsid w:val="002E5118"/>
    <w:rsid w:val="002F4340"/>
    <w:rsid w:val="003052F0"/>
    <w:rsid w:val="00311568"/>
    <w:rsid w:val="0031159A"/>
    <w:rsid w:val="0033615C"/>
    <w:rsid w:val="00342923"/>
    <w:rsid w:val="003A7BCD"/>
    <w:rsid w:val="003B3D37"/>
    <w:rsid w:val="00413ECA"/>
    <w:rsid w:val="0042785F"/>
    <w:rsid w:val="00453E5E"/>
    <w:rsid w:val="0047113E"/>
    <w:rsid w:val="00473B00"/>
    <w:rsid w:val="00481D63"/>
    <w:rsid w:val="0048291C"/>
    <w:rsid w:val="004D3604"/>
    <w:rsid w:val="004E7099"/>
    <w:rsid w:val="00505B29"/>
    <w:rsid w:val="00537EA5"/>
    <w:rsid w:val="005A36FA"/>
    <w:rsid w:val="005C58BA"/>
    <w:rsid w:val="005D2582"/>
    <w:rsid w:val="005D4833"/>
    <w:rsid w:val="005D6E3A"/>
    <w:rsid w:val="005F48E0"/>
    <w:rsid w:val="00623985"/>
    <w:rsid w:val="00643178"/>
    <w:rsid w:val="00666F6C"/>
    <w:rsid w:val="00673C0C"/>
    <w:rsid w:val="00676A08"/>
    <w:rsid w:val="00677A51"/>
    <w:rsid w:val="006837D3"/>
    <w:rsid w:val="0069326D"/>
    <w:rsid w:val="006B45D3"/>
    <w:rsid w:val="006B4696"/>
    <w:rsid w:val="006C1752"/>
    <w:rsid w:val="006C3D94"/>
    <w:rsid w:val="006C4CF6"/>
    <w:rsid w:val="006E15D1"/>
    <w:rsid w:val="006E580D"/>
    <w:rsid w:val="00735FDC"/>
    <w:rsid w:val="00741E45"/>
    <w:rsid w:val="007554A0"/>
    <w:rsid w:val="00757195"/>
    <w:rsid w:val="00786F32"/>
    <w:rsid w:val="007A2F2D"/>
    <w:rsid w:val="007F1D10"/>
    <w:rsid w:val="00816BE5"/>
    <w:rsid w:val="008309F5"/>
    <w:rsid w:val="00835899"/>
    <w:rsid w:val="00845EFC"/>
    <w:rsid w:val="00852DB4"/>
    <w:rsid w:val="00882D5C"/>
    <w:rsid w:val="00884090"/>
    <w:rsid w:val="008924B6"/>
    <w:rsid w:val="008C6A76"/>
    <w:rsid w:val="008D24CF"/>
    <w:rsid w:val="008D41A8"/>
    <w:rsid w:val="008E7C51"/>
    <w:rsid w:val="008F686D"/>
    <w:rsid w:val="00902E7E"/>
    <w:rsid w:val="009071B0"/>
    <w:rsid w:val="009422F3"/>
    <w:rsid w:val="00946CF9"/>
    <w:rsid w:val="00952AA0"/>
    <w:rsid w:val="009676F9"/>
    <w:rsid w:val="009B3A35"/>
    <w:rsid w:val="009F42EB"/>
    <w:rsid w:val="00A047DF"/>
    <w:rsid w:val="00A11BDD"/>
    <w:rsid w:val="00A2383F"/>
    <w:rsid w:val="00A27EAD"/>
    <w:rsid w:val="00A457E7"/>
    <w:rsid w:val="00A524F1"/>
    <w:rsid w:val="00A821C9"/>
    <w:rsid w:val="00A85AA4"/>
    <w:rsid w:val="00A94BE9"/>
    <w:rsid w:val="00AB32E6"/>
    <w:rsid w:val="00AB3CBE"/>
    <w:rsid w:val="00AD66AE"/>
    <w:rsid w:val="00B02916"/>
    <w:rsid w:val="00B06655"/>
    <w:rsid w:val="00B3067D"/>
    <w:rsid w:val="00B36113"/>
    <w:rsid w:val="00B636F3"/>
    <w:rsid w:val="00BC5B5C"/>
    <w:rsid w:val="00BD19B1"/>
    <w:rsid w:val="00BE1537"/>
    <w:rsid w:val="00BE1CC3"/>
    <w:rsid w:val="00BF0216"/>
    <w:rsid w:val="00BF7B17"/>
    <w:rsid w:val="00C045DC"/>
    <w:rsid w:val="00C12CC6"/>
    <w:rsid w:val="00C4001B"/>
    <w:rsid w:val="00C60D46"/>
    <w:rsid w:val="00C63A50"/>
    <w:rsid w:val="00C83BFE"/>
    <w:rsid w:val="00CA524D"/>
    <w:rsid w:val="00CB55D2"/>
    <w:rsid w:val="00D07570"/>
    <w:rsid w:val="00D21767"/>
    <w:rsid w:val="00D21DCB"/>
    <w:rsid w:val="00D22978"/>
    <w:rsid w:val="00D40D47"/>
    <w:rsid w:val="00D41111"/>
    <w:rsid w:val="00D55A03"/>
    <w:rsid w:val="00D73A6A"/>
    <w:rsid w:val="00D776F7"/>
    <w:rsid w:val="00DB7C95"/>
    <w:rsid w:val="00DC4AC9"/>
    <w:rsid w:val="00DF22FF"/>
    <w:rsid w:val="00E04EEF"/>
    <w:rsid w:val="00E0788A"/>
    <w:rsid w:val="00E07F40"/>
    <w:rsid w:val="00E159BC"/>
    <w:rsid w:val="00E20073"/>
    <w:rsid w:val="00E33AFB"/>
    <w:rsid w:val="00E36AF1"/>
    <w:rsid w:val="00E57220"/>
    <w:rsid w:val="00E63CD4"/>
    <w:rsid w:val="00E85B01"/>
    <w:rsid w:val="00E86DD2"/>
    <w:rsid w:val="00EC6A47"/>
    <w:rsid w:val="00ED237A"/>
    <w:rsid w:val="00ED42D7"/>
    <w:rsid w:val="00ED46E1"/>
    <w:rsid w:val="00EE6B58"/>
    <w:rsid w:val="00EF4914"/>
    <w:rsid w:val="00EF65BA"/>
    <w:rsid w:val="00F056E4"/>
    <w:rsid w:val="00F11C58"/>
    <w:rsid w:val="00F47C6A"/>
    <w:rsid w:val="00F9320A"/>
    <w:rsid w:val="00FA1636"/>
    <w:rsid w:val="00FA5761"/>
    <w:rsid w:val="00FD0CE9"/>
    <w:rsid w:val="00FE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8173D"/>
  <w15:docId w15:val="{5554FCCA-EEC4-4E02-A1A3-53209FDB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B01"/>
  </w:style>
  <w:style w:type="paragraph" w:styleId="Heading1">
    <w:name w:val="heading 1"/>
    <w:basedOn w:val="Normal"/>
    <w:next w:val="Normal"/>
    <w:link w:val="Heading1Char"/>
    <w:uiPriority w:val="9"/>
    <w:qFormat/>
    <w:rsid w:val="00D40D47"/>
    <w:pPr>
      <w:keepNext/>
      <w:keepLines/>
      <w:spacing w:before="240" w:after="0"/>
      <w:jc w:val="center"/>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uiPriority w:val="9"/>
    <w:semiHidden/>
    <w:unhideWhenUsed/>
    <w:qFormat/>
    <w:rsid w:val="00107B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C405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5B0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1C405B"/>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852DB4"/>
    <w:pPr>
      <w:spacing w:after="0" w:line="240" w:lineRule="auto"/>
    </w:pPr>
  </w:style>
  <w:style w:type="character" w:styleId="Hyperlink">
    <w:name w:val="Hyperlink"/>
    <w:basedOn w:val="DefaultParagraphFont"/>
    <w:uiPriority w:val="99"/>
    <w:unhideWhenUsed/>
    <w:rsid w:val="000206C3"/>
    <w:rPr>
      <w:color w:val="0000FF"/>
      <w:u w:val="single"/>
    </w:rPr>
  </w:style>
  <w:style w:type="character" w:styleId="Emphasis">
    <w:name w:val="Emphasis"/>
    <w:basedOn w:val="DefaultParagraphFont"/>
    <w:uiPriority w:val="20"/>
    <w:qFormat/>
    <w:rsid w:val="001D4CDA"/>
    <w:rPr>
      <w:i/>
      <w:iCs/>
    </w:rPr>
  </w:style>
  <w:style w:type="paragraph" w:styleId="BodyText">
    <w:name w:val="Body Text"/>
    <w:basedOn w:val="Normal"/>
    <w:link w:val="BodyTextChar"/>
    <w:uiPriority w:val="1"/>
    <w:qFormat/>
    <w:rsid w:val="00144FE5"/>
    <w:pPr>
      <w:widowControl w:val="0"/>
      <w:autoSpaceDE w:val="0"/>
      <w:autoSpaceDN w:val="0"/>
      <w:spacing w:after="0" w:line="240" w:lineRule="auto"/>
      <w:jc w:val="both"/>
    </w:pPr>
    <w:rPr>
      <w:rFonts w:ascii="Arial" w:eastAsia="Arial" w:hAnsi="Arial" w:cs="Arial"/>
      <w:b/>
      <w:bCs/>
      <w:color w:val="000000" w:themeColor="text1"/>
      <w:sz w:val="24"/>
    </w:rPr>
  </w:style>
  <w:style w:type="character" w:customStyle="1" w:styleId="BodyTextChar">
    <w:name w:val="Body Text Char"/>
    <w:basedOn w:val="DefaultParagraphFont"/>
    <w:link w:val="BodyText"/>
    <w:uiPriority w:val="1"/>
    <w:rsid w:val="00144FE5"/>
    <w:rPr>
      <w:rFonts w:ascii="Arial" w:eastAsia="Arial" w:hAnsi="Arial" w:cs="Arial"/>
      <w:b/>
      <w:bCs/>
      <w:color w:val="000000" w:themeColor="text1"/>
      <w:sz w:val="24"/>
    </w:rPr>
  </w:style>
  <w:style w:type="character" w:customStyle="1" w:styleId="Heading1Char">
    <w:name w:val="Heading 1 Char"/>
    <w:basedOn w:val="DefaultParagraphFont"/>
    <w:link w:val="Heading1"/>
    <w:uiPriority w:val="9"/>
    <w:rsid w:val="00D40D47"/>
    <w:rPr>
      <w:rFonts w:ascii="Times New Roman" w:eastAsiaTheme="majorEastAsia" w:hAnsi="Times New Roman" w:cstheme="majorBidi"/>
      <w:b/>
      <w:color w:val="000000" w:themeColor="text1"/>
      <w:sz w:val="32"/>
      <w:szCs w:val="32"/>
    </w:rPr>
  </w:style>
  <w:style w:type="paragraph" w:styleId="ListParagraph">
    <w:name w:val="List Paragraph"/>
    <w:basedOn w:val="Normal"/>
    <w:uiPriority w:val="34"/>
    <w:qFormat/>
    <w:rsid w:val="00757195"/>
    <w:pPr>
      <w:ind w:left="720"/>
      <w:contextualSpacing/>
    </w:pPr>
  </w:style>
  <w:style w:type="character" w:styleId="UnresolvedMention">
    <w:name w:val="Unresolved Mention"/>
    <w:basedOn w:val="DefaultParagraphFont"/>
    <w:uiPriority w:val="99"/>
    <w:semiHidden/>
    <w:unhideWhenUsed/>
    <w:rsid w:val="00E57220"/>
    <w:rPr>
      <w:color w:val="605E5C"/>
      <w:shd w:val="clear" w:color="auto" w:fill="E1DFDD"/>
    </w:rPr>
  </w:style>
  <w:style w:type="character" w:styleId="Strong">
    <w:name w:val="Strong"/>
    <w:basedOn w:val="DefaultParagraphFont"/>
    <w:uiPriority w:val="22"/>
    <w:qFormat/>
    <w:rsid w:val="00FA5761"/>
    <w:rPr>
      <w:b/>
      <w:bCs/>
    </w:rPr>
  </w:style>
  <w:style w:type="character" w:customStyle="1" w:styleId="Heading2Char">
    <w:name w:val="Heading 2 Char"/>
    <w:basedOn w:val="DefaultParagraphFont"/>
    <w:link w:val="Heading2"/>
    <w:uiPriority w:val="9"/>
    <w:semiHidden/>
    <w:rsid w:val="00107BB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3460">
      <w:bodyDiv w:val="1"/>
      <w:marLeft w:val="0"/>
      <w:marRight w:val="0"/>
      <w:marTop w:val="0"/>
      <w:marBottom w:val="0"/>
      <w:divBdr>
        <w:top w:val="none" w:sz="0" w:space="0" w:color="auto"/>
        <w:left w:val="none" w:sz="0" w:space="0" w:color="auto"/>
        <w:bottom w:val="none" w:sz="0" w:space="0" w:color="auto"/>
        <w:right w:val="none" w:sz="0" w:space="0" w:color="auto"/>
      </w:divBdr>
    </w:div>
    <w:div w:id="735513259">
      <w:bodyDiv w:val="1"/>
      <w:marLeft w:val="0"/>
      <w:marRight w:val="0"/>
      <w:marTop w:val="0"/>
      <w:marBottom w:val="0"/>
      <w:divBdr>
        <w:top w:val="none" w:sz="0" w:space="0" w:color="auto"/>
        <w:left w:val="none" w:sz="0" w:space="0" w:color="auto"/>
        <w:bottom w:val="none" w:sz="0" w:space="0" w:color="auto"/>
        <w:right w:val="none" w:sz="0" w:space="0" w:color="auto"/>
      </w:divBdr>
    </w:div>
    <w:div w:id="770466643">
      <w:bodyDiv w:val="1"/>
      <w:marLeft w:val="0"/>
      <w:marRight w:val="0"/>
      <w:marTop w:val="0"/>
      <w:marBottom w:val="0"/>
      <w:divBdr>
        <w:top w:val="none" w:sz="0" w:space="0" w:color="auto"/>
        <w:left w:val="none" w:sz="0" w:space="0" w:color="auto"/>
        <w:bottom w:val="none" w:sz="0" w:space="0" w:color="auto"/>
        <w:right w:val="none" w:sz="0" w:space="0" w:color="auto"/>
      </w:divBdr>
    </w:div>
    <w:div w:id="1537085397">
      <w:bodyDiv w:val="1"/>
      <w:marLeft w:val="0"/>
      <w:marRight w:val="0"/>
      <w:marTop w:val="0"/>
      <w:marBottom w:val="0"/>
      <w:divBdr>
        <w:top w:val="none" w:sz="0" w:space="0" w:color="auto"/>
        <w:left w:val="none" w:sz="0" w:space="0" w:color="auto"/>
        <w:bottom w:val="none" w:sz="0" w:space="0" w:color="auto"/>
        <w:right w:val="none" w:sz="0" w:space="0" w:color="auto"/>
      </w:divBdr>
    </w:div>
    <w:div w:id="1801875976">
      <w:bodyDiv w:val="1"/>
      <w:marLeft w:val="0"/>
      <w:marRight w:val="0"/>
      <w:marTop w:val="0"/>
      <w:marBottom w:val="0"/>
      <w:divBdr>
        <w:top w:val="none" w:sz="0" w:space="0" w:color="auto"/>
        <w:left w:val="none" w:sz="0" w:space="0" w:color="auto"/>
        <w:bottom w:val="none" w:sz="0" w:space="0" w:color="auto"/>
        <w:right w:val="none" w:sz="0" w:space="0" w:color="auto"/>
      </w:divBdr>
    </w:div>
    <w:div w:id="194441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1283</TotalTime>
  <Pages>1</Pages>
  <Words>1626</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Mesfin Wubishet</cp:lastModifiedBy>
  <cp:revision>133</cp:revision>
  <dcterms:created xsi:type="dcterms:W3CDTF">2021-12-22T13:09:00Z</dcterms:created>
  <dcterms:modified xsi:type="dcterms:W3CDTF">2026-08-11T17:10:00Z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366abc566f72d3eaab463bdffc12b2715f9ecb2eae62181de350e2cfa4e7a8f7</vt:lpwstr>
  </property>
</Properties>
</file>