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5F67" w:rsidRPr="00F6136F" w:rsidRDefault="00F6136F" w:rsidP="003E3004">
      <w:pPr>
        <w:spacing w:line="360" w:lineRule="auto"/>
        <w:jc w:val="both"/>
        <w:rPr>
          <w:rFonts w:ascii="Arial" w:hAnsi="Arial" w:cs="Arial"/>
          <w:lang w:val="en-US"/>
        </w:rPr>
      </w:pPr>
      <w:r w:rsidRPr="00F6136F">
        <w:rPr>
          <w:rFonts w:ascii="Arial" w:hAnsi="Arial" w:cs="Arial"/>
          <w:b/>
          <w:bCs/>
          <w:lang w:val="en-US"/>
        </w:rPr>
        <w:t xml:space="preserve">Supplementary Table 1 </w:t>
      </w:r>
      <w:r w:rsidRPr="00F6136F">
        <w:rPr>
          <w:rFonts w:ascii="Arial" w:hAnsi="Arial" w:cs="Arial"/>
          <w:lang w:val="en-US"/>
        </w:rPr>
        <w:t>Adjusted Odds Ratios from the BDHS 2017–18 Used to Derive Informative Priors, with Corresponding Log-Odds Estimates and Standard Errors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239"/>
        <w:gridCol w:w="1308"/>
        <w:gridCol w:w="709"/>
        <w:gridCol w:w="1030"/>
        <w:gridCol w:w="836"/>
        <w:gridCol w:w="803"/>
        <w:gridCol w:w="1180"/>
        <w:gridCol w:w="1171"/>
        <w:gridCol w:w="1075"/>
      </w:tblGrid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6F95">
              <w:rPr>
                <w:rFonts w:ascii="Arial" w:hAnsi="Arial" w:cs="Arial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6F95">
              <w:rPr>
                <w:rFonts w:ascii="Arial" w:hAnsi="Arial" w:cs="Arial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6F95">
              <w:rPr>
                <w:rFonts w:ascii="Arial" w:hAnsi="Arial" w:cs="Arial"/>
                <w:b/>
                <w:bCs/>
                <w:sz w:val="16"/>
                <w:szCs w:val="16"/>
              </w:rPr>
              <w:t>AOR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6F95">
              <w:rPr>
                <w:rFonts w:ascii="Arial" w:hAnsi="Arial" w:cs="Arial"/>
                <w:b/>
                <w:bCs/>
                <w:sz w:val="16"/>
                <w:szCs w:val="16"/>
              </w:rPr>
              <w:t>Lower CI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6F95">
              <w:rPr>
                <w:rFonts w:ascii="Arial" w:hAnsi="Arial" w:cs="Arial"/>
                <w:b/>
                <w:bCs/>
                <w:sz w:val="16"/>
                <w:szCs w:val="16"/>
              </w:rPr>
              <w:t>Upper CI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A86F95">
              <w:rPr>
                <w:rFonts w:ascii="Arial" w:hAnsi="Arial" w:cs="Arial"/>
                <w:b/>
                <w:bCs/>
                <w:sz w:val="16"/>
                <w:szCs w:val="16"/>
              </w:rPr>
              <w:t>log(</w:t>
            </w:r>
            <w:proofErr w:type="gramEnd"/>
            <w:r w:rsidRPr="00A86F95">
              <w:rPr>
                <w:rFonts w:ascii="Arial" w:hAnsi="Arial" w:cs="Arial"/>
                <w:b/>
                <w:bCs/>
                <w:sz w:val="16"/>
                <w:szCs w:val="16"/>
              </w:rPr>
              <w:t>OR)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A86F95">
              <w:rPr>
                <w:rFonts w:ascii="Arial" w:hAnsi="Arial" w:cs="Arial"/>
                <w:b/>
                <w:bCs/>
                <w:sz w:val="16"/>
                <w:szCs w:val="16"/>
              </w:rPr>
              <w:t>log(</w:t>
            </w:r>
            <w:proofErr w:type="gramEnd"/>
            <w:r w:rsidRPr="00A86F95">
              <w:rPr>
                <w:rFonts w:ascii="Arial" w:hAnsi="Arial" w:cs="Arial"/>
                <w:b/>
                <w:bCs/>
                <w:sz w:val="16"/>
                <w:szCs w:val="16"/>
              </w:rPr>
              <w:t>Lower CI)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A86F95">
              <w:rPr>
                <w:rFonts w:ascii="Arial" w:hAnsi="Arial" w:cs="Arial"/>
                <w:b/>
                <w:bCs/>
                <w:sz w:val="16"/>
                <w:szCs w:val="16"/>
              </w:rPr>
              <w:t>log(</w:t>
            </w:r>
            <w:proofErr w:type="gramEnd"/>
            <w:r w:rsidRPr="00A86F95">
              <w:rPr>
                <w:rFonts w:ascii="Arial" w:hAnsi="Arial" w:cs="Arial"/>
                <w:b/>
                <w:bCs/>
                <w:sz w:val="16"/>
                <w:szCs w:val="16"/>
              </w:rPr>
              <w:t>Upper CI)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6F95">
              <w:rPr>
                <w:rFonts w:ascii="Arial" w:hAnsi="Arial" w:cs="Arial"/>
                <w:b/>
                <w:bCs/>
                <w:sz w:val="16"/>
                <w:szCs w:val="16"/>
              </w:rPr>
              <w:t>SE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Gender</w:t>
            </w: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0.94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0.85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1.04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-0.0619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-0.1625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0.0392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0.0515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86F95">
              <w:rPr>
                <w:rFonts w:ascii="Arial" w:hAnsi="Arial" w:cs="Arial"/>
                <w:sz w:val="16"/>
                <w:szCs w:val="16"/>
              </w:rPr>
              <w:t>Marital_Status</w:t>
            </w:r>
            <w:proofErr w:type="spellEnd"/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1.26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1.01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1.57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0.2311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0.00995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0.451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0.1117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BMI</w:t>
            </w: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Overweight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0.4700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0.3365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0.6419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0.0776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Obese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0.6419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0.4055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0.9163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0.1306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Wealth Index</w:t>
            </w: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Poorest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Poorer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-0.2231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0.2624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0.1249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Middle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1.7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0.2624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0.5306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0.1353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Richer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1.7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0.5306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0.2624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0.7885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0.1345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Richest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2.6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0.9555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0.6931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1.1939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0.1276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Residence</w:t>
            </w: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Rural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Urban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-0.1054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0.1823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0.0737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Division</w:t>
            </w: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Dhaka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86F95">
              <w:rPr>
                <w:rFonts w:ascii="Arial" w:hAnsi="Arial" w:cs="Arial"/>
                <w:sz w:val="16"/>
                <w:szCs w:val="16"/>
              </w:rPr>
              <w:t>Chattagram</w:t>
            </w:r>
            <w:proofErr w:type="spellEnd"/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-0.3567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-0.5108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-0.1054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0.1037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86F95">
              <w:rPr>
                <w:rFonts w:ascii="Arial" w:hAnsi="Arial" w:cs="Arial"/>
                <w:sz w:val="16"/>
                <w:szCs w:val="16"/>
              </w:rPr>
              <w:t>Barishal</w:t>
            </w:r>
            <w:proofErr w:type="spellEnd"/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-0.3567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-0.6931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0.1767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Khulna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-0.6931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-0.9163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-0.3567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0.1434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Mymensingh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-0.5108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-0.6931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-0.2231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0.1193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86F95">
              <w:rPr>
                <w:rFonts w:ascii="Arial" w:hAnsi="Arial" w:cs="Arial"/>
                <w:sz w:val="16"/>
                <w:szCs w:val="16"/>
              </w:rPr>
              <w:t>Rajshahi</w:t>
            </w:r>
            <w:proofErr w:type="spellEnd"/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-0.5108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-0.6931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-0.2231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0.1193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Rangpur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-0.9163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-1.2039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-0.5108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0.1776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Sylhet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-0.3567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-0.6931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-0.1054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0.1485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Education</w:t>
            </w: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No education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Primary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0.1823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0.4055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0.1033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 xml:space="preserve">Secondary and </w:t>
            </w:r>
            <w:proofErr w:type="gramStart"/>
            <w:r w:rsidRPr="00A86F95">
              <w:rPr>
                <w:rFonts w:ascii="Arial" w:hAnsi="Arial" w:cs="Arial"/>
                <w:sz w:val="16"/>
                <w:szCs w:val="16"/>
              </w:rPr>
              <w:t>Above</w:t>
            </w:r>
            <w:proofErr w:type="gramEnd"/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0.1823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0.4055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0.1033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Hypertension</w:t>
            </w: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1.52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1.36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1.69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0.4191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0.3075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0.5258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0.0553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Age</w:t>
            </w: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18-34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—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35-64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2.50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2.20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2.85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0.9163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0.7885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1.0473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0.0660</w:t>
            </w:r>
          </w:p>
        </w:tc>
      </w:tr>
      <w:tr w:rsidR="00EA5F67" w:rsidRPr="00A86F95" w:rsidTr="00A86F95"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65+</w:t>
            </w:r>
          </w:p>
        </w:tc>
        <w:tc>
          <w:tcPr>
            <w:tcW w:w="709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3.29</w:t>
            </w:r>
          </w:p>
        </w:tc>
        <w:tc>
          <w:tcPr>
            <w:tcW w:w="1030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2.73</w:t>
            </w:r>
          </w:p>
        </w:tc>
        <w:tc>
          <w:tcPr>
            <w:tcW w:w="836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3.96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1.1900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1.003</w:t>
            </w:r>
          </w:p>
        </w:tc>
        <w:tc>
          <w:tcPr>
            <w:tcW w:w="0" w:type="auto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1.3780</w:t>
            </w:r>
          </w:p>
        </w:tc>
        <w:tc>
          <w:tcPr>
            <w:tcW w:w="1075" w:type="dxa"/>
            <w:hideMark/>
          </w:tcPr>
          <w:p w:rsidR="00EA5F67" w:rsidRPr="00A86F95" w:rsidRDefault="00EA5F67" w:rsidP="00C1532A">
            <w:pPr>
              <w:rPr>
                <w:rFonts w:ascii="Arial" w:hAnsi="Arial" w:cs="Arial"/>
                <w:sz w:val="16"/>
                <w:szCs w:val="16"/>
              </w:rPr>
            </w:pPr>
            <w:r w:rsidRPr="00A86F95">
              <w:rPr>
                <w:rFonts w:ascii="Arial" w:hAnsi="Arial" w:cs="Arial"/>
                <w:sz w:val="16"/>
                <w:szCs w:val="16"/>
              </w:rPr>
              <w:t>0.0963</w:t>
            </w:r>
          </w:p>
        </w:tc>
      </w:tr>
    </w:tbl>
    <w:p w:rsidR="00EA5F67" w:rsidRPr="00EA5F67" w:rsidRDefault="00EA5F67" w:rsidP="003E3004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</w:p>
    <w:p w:rsidR="003E3004" w:rsidRPr="00EA5F67" w:rsidRDefault="003E3004" w:rsidP="003E3004">
      <w:pPr>
        <w:spacing w:line="360" w:lineRule="auto"/>
        <w:jc w:val="both"/>
        <w:rPr>
          <w:rFonts w:ascii="Arial" w:hAnsi="Arial" w:cs="Arial"/>
        </w:rPr>
      </w:pPr>
      <w:r w:rsidRPr="00EA5F67">
        <w:rPr>
          <w:rFonts w:ascii="Arial" w:hAnsi="Arial" w:cs="Arial"/>
          <w:b/>
          <w:bCs/>
          <w:lang w:val="en-US"/>
        </w:rPr>
        <w:t xml:space="preserve">Supplementary </w:t>
      </w:r>
      <w:r w:rsidRPr="00EA5F67">
        <w:rPr>
          <w:rFonts w:ascii="Arial" w:hAnsi="Arial" w:cs="Arial"/>
          <w:b/>
          <w:bCs/>
        </w:rPr>
        <w:t xml:space="preserve">Table </w:t>
      </w:r>
      <w:r w:rsidR="00EA5F67">
        <w:rPr>
          <w:rFonts w:ascii="Arial" w:hAnsi="Arial" w:cs="Arial"/>
          <w:b/>
          <w:bCs/>
          <w:lang w:val="en-US"/>
        </w:rPr>
        <w:t>2</w:t>
      </w:r>
      <w:r w:rsidRPr="00EA5F67">
        <w:rPr>
          <w:rFonts w:ascii="Arial" w:hAnsi="Arial" w:cs="Arial"/>
        </w:rPr>
        <w:t xml:space="preserve"> Comparison of Bayesian Models Using Leave-One-Out Cross-Validation (LOO) and Widely Applicable Information Criterion (WAIC)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1156"/>
        <w:gridCol w:w="966"/>
        <w:gridCol w:w="1065"/>
        <w:gridCol w:w="1009"/>
        <w:gridCol w:w="966"/>
        <w:gridCol w:w="965"/>
        <w:gridCol w:w="909"/>
      </w:tblGrid>
      <w:tr w:rsidR="00725520" w:rsidRPr="00EA5F67" w:rsidTr="00EA5F67">
        <w:tc>
          <w:tcPr>
            <w:tcW w:w="988" w:type="dxa"/>
            <w:hideMark/>
          </w:tcPr>
          <w:p w:rsidR="00725520" w:rsidRPr="00725520" w:rsidRDefault="00725520" w:rsidP="00725520">
            <w:pPr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Model</w:t>
            </w:r>
          </w:p>
        </w:tc>
        <w:tc>
          <w:tcPr>
            <w:tcW w:w="992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Structure</w:t>
            </w:r>
          </w:p>
        </w:tc>
        <w:tc>
          <w:tcPr>
            <w:tcW w:w="1156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Prior</w:t>
            </w:r>
          </w:p>
        </w:tc>
        <w:tc>
          <w:tcPr>
            <w:tcW w:w="966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LOOIC</w:t>
            </w:r>
          </w:p>
        </w:tc>
        <w:tc>
          <w:tcPr>
            <w:tcW w:w="1065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SE (LOOIC)</w:t>
            </w:r>
          </w:p>
        </w:tc>
        <w:tc>
          <w:tcPr>
            <w:tcW w:w="1009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ΔLOOIC</w:t>
            </w:r>
          </w:p>
        </w:tc>
        <w:tc>
          <w:tcPr>
            <w:tcW w:w="966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WAIC</w:t>
            </w:r>
          </w:p>
        </w:tc>
        <w:tc>
          <w:tcPr>
            <w:tcW w:w="965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SE (WAIC)</w:t>
            </w:r>
          </w:p>
        </w:tc>
        <w:tc>
          <w:tcPr>
            <w:tcW w:w="909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ΔWAIC</w:t>
            </w:r>
          </w:p>
        </w:tc>
      </w:tr>
      <w:tr w:rsidR="00725520" w:rsidRPr="00EA5F67" w:rsidTr="00EA5F67">
        <w:tc>
          <w:tcPr>
            <w:tcW w:w="988" w:type="dxa"/>
            <w:hideMark/>
          </w:tcPr>
          <w:p w:rsidR="00725520" w:rsidRPr="00725520" w:rsidRDefault="00725520" w:rsidP="00725520">
            <w:pPr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Model A</w:t>
            </w:r>
          </w:p>
        </w:tc>
        <w:tc>
          <w:tcPr>
            <w:tcW w:w="992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No Cluster</w:t>
            </w:r>
          </w:p>
        </w:tc>
        <w:tc>
          <w:tcPr>
            <w:tcW w:w="1156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Informative</w:t>
            </w:r>
          </w:p>
        </w:tc>
        <w:tc>
          <w:tcPr>
            <w:tcW w:w="966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11116.37</w:t>
            </w:r>
          </w:p>
        </w:tc>
        <w:tc>
          <w:tcPr>
            <w:tcW w:w="1065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163.89</w:t>
            </w:r>
          </w:p>
        </w:tc>
        <w:tc>
          <w:tcPr>
            <w:tcW w:w="1009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296.74</w:t>
            </w:r>
          </w:p>
        </w:tc>
        <w:tc>
          <w:tcPr>
            <w:tcW w:w="966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11116.36</w:t>
            </w:r>
          </w:p>
        </w:tc>
        <w:tc>
          <w:tcPr>
            <w:tcW w:w="965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163.89</w:t>
            </w:r>
          </w:p>
        </w:tc>
        <w:tc>
          <w:tcPr>
            <w:tcW w:w="909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298.69</w:t>
            </w:r>
          </w:p>
        </w:tc>
      </w:tr>
      <w:tr w:rsidR="00725520" w:rsidRPr="00EA5F67" w:rsidTr="00EA5F67">
        <w:tc>
          <w:tcPr>
            <w:tcW w:w="988" w:type="dxa"/>
            <w:hideMark/>
          </w:tcPr>
          <w:p w:rsidR="00725520" w:rsidRPr="00725520" w:rsidRDefault="00725520" w:rsidP="00725520">
            <w:pPr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Model B</w:t>
            </w:r>
          </w:p>
        </w:tc>
        <w:tc>
          <w:tcPr>
            <w:tcW w:w="992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With Cluster</w:t>
            </w:r>
          </w:p>
        </w:tc>
        <w:tc>
          <w:tcPr>
            <w:tcW w:w="1156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Informative</w:t>
            </w:r>
          </w:p>
        </w:tc>
        <w:tc>
          <w:tcPr>
            <w:tcW w:w="966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10819.63</w:t>
            </w:r>
          </w:p>
        </w:tc>
        <w:tc>
          <w:tcPr>
            <w:tcW w:w="1065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161.94</w:t>
            </w:r>
          </w:p>
        </w:tc>
        <w:tc>
          <w:tcPr>
            <w:tcW w:w="1009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0.00</w:t>
            </w:r>
          </w:p>
        </w:tc>
        <w:tc>
          <w:tcPr>
            <w:tcW w:w="966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10817.67</w:t>
            </w:r>
          </w:p>
        </w:tc>
        <w:tc>
          <w:tcPr>
            <w:tcW w:w="965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161.89</w:t>
            </w:r>
          </w:p>
        </w:tc>
        <w:tc>
          <w:tcPr>
            <w:tcW w:w="909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0.00</w:t>
            </w:r>
          </w:p>
        </w:tc>
      </w:tr>
      <w:tr w:rsidR="00725520" w:rsidRPr="00EA5F67" w:rsidTr="00EA5F67">
        <w:tc>
          <w:tcPr>
            <w:tcW w:w="988" w:type="dxa"/>
            <w:hideMark/>
          </w:tcPr>
          <w:p w:rsidR="00725520" w:rsidRPr="00725520" w:rsidRDefault="00725520" w:rsidP="00725520">
            <w:pPr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:lang w:eastAsia="en-GB"/>
                <w14:ligatures w14:val="none"/>
              </w:rPr>
              <w:t>Model C</w:t>
            </w:r>
          </w:p>
        </w:tc>
        <w:tc>
          <w:tcPr>
            <w:tcW w:w="992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With Cluster</w:t>
            </w:r>
          </w:p>
        </w:tc>
        <w:tc>
          <w:tcPr>
            <w:tcW w:w="1156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Weakly Informative</w:t>
            </w:r>
          </w:p>
        </w:tc>
        <w:tc>
          <w:tcPr>
            <w:tcW w:w="966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10821.34</w:t>
            </w:r>
          </w:p>
        </w:tc>
        <w:tc>
          <w:tcPr>
            <w:tcW w:w="1065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163.21</w:t>
            </w:r>
          </w:p>
        </w:tc>
        <w:tc>
          <w:tcPr>
            <w:tcW w:w="1009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1.71</w:t>
            </w:r>
          </w:p>
        </w:tc>
        <w:tc>
          <w:tcPr>
            <w:tcW w:w="966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10819.35</w:t>
            </w:r>
          </w:p>
        </w:tc>
        <w:tc>
          <w:tcPr>
            <w:tcW w:w="965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163.16</w:t>
            </w:r>
          </w:p>
        </w:tc>
        <w:tc>
          <w:tcPr>
            <w:tcW w:w="909" w:type="dxa"/>
            <w:hideMark/>
          </w:tcPr>
          <w:p w:rsidR="00725520" w:rsidRPr="00725520" w:rsidRDefault="00725520" w:rsidP="00725520">
            <w:pPr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</w:pPr>
            <w:r w:rsidRPr="00725520">
              <w:rPr>
                <w:rFonts w:ascii="Arial" w:eastAsia="Times New Roman" w:hAnsi="Arial" w:cs="Arial"/>
                <w:kern w:val="0"/>
                <w:sz w:val="17"/>
                <w:szCs w:val="17"/>
                <w:lang w:eastAsia="en-GB"/>
                <w14:ligatures w14:val="none"/>
              </w:rPr>
              <w:t>1.68</w:t>
            </w:r>
          </w:p>
        </w:tc>
      </w:tr>
    </w:tbl>
    <w:p w:rsidR="00725520" w:rsidRPr="00EA5F67" w:rsidRDefault="00725520" w:rsidP="00725520">
      <w:pPr>
        <w:spacing w:line="360" w:lineRule="auto"/>
        <w:rPr>
          <w:rFonts w:ascii="Arial" w:hAnsi="Arial" w:cs="Arial"/>
          <w:b/>
          <w:bCs/>
          <w:lang w:val="en-US"/>
        </w:rPr>
      </w:pPr>
    </w:p>
    <w:p w:rsidR="003E3004" w:rsidRPr="00EA5F67" w:rsidRDefault="003E3004" w:rsidP="003E3004">
      <w:pPr>
        <w:spacing w:line="360" w:lineRule="auto"/>
        <w:jc w:val="both"/>
        <w:rPr>
          <w:rFonts w:ascii="Arial" w:hAnsi="Arial" w:cs="Arial"/>
        </w:rPr>
      </w:pPr>
      <w:r w:rsidRPr="00EA5F67">
        <w:rPr>
          <w:rFonts w:ascii="Arial" w:hAnsi="Arial" w:cs="Arial"/>
          <w:b/>
          <w:bCs/>
          <w:lang w:val="en-US"/>
        </w:rPr>
        <w:t xml:space="preserve">Supplementary Table </w:t>
      </w:r>
      <w:r w:rsidR="00EA5F67">
        <w:rPr>
          <w:rFonts w:ascii="Arial" w:hAnsi="Arial" w:cs="Arial"/>
          <w:b/>
          <w:bCs/>
          <w:lang w:val="en-US"/>
        </w:rPr>
        <w:t>3</w:t>
      </w:r>
      <w:r w:rsidRPr="00EA5F67">
        <w:rPr>
          <w:rFonts w:ascii="Arial" w:hAnsi="Arial" w:cs="Arial"/>
          <w:lang w:val="en-US"/>
        </w:rPr>
        <w:t xml:space="preserve"> </w:t>
      </w:r>
      <w:r w:rsidRPr="00EA5F67">
        <w:rPr>
          <w:rFonts w:ascii="Arial" w:hAnsi="Arial" w:cs="Arial"/>
        </w:rPr>
        <w:t>Bayesian Model Convergence Diagnostics Based on Gelman–Rubin Statistic (</w:t>
      </w:r>
      <m:oMath>
        <m:acc>
          <m:accPr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R</m:t>
            </m:r>
          </m:e>
        </m:acc>
      </m:oMath>
      <w:r w:rsidRPr="00EA5F67">
        <w:rPr>
          <w:rFonts w:ascii="Arial" w:hAnsi="Arial" w:cs="Arial"/>
        </w:rPr>
        <w:t>) Across All Models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1"/>
        <w:gridCol w:w="1402"/>
        <w:gridCol w:w="1451"/>
        <w:gridCol w:w="2588"/>
        <w:gridCol w:w="1293"/>
      </w:tblGrid>
      <w:tr w:rsidR="003E3004" w:rsidRPr="00EA5F67" w:rsidTr="0024174F">
        <w:tc>
          <w:tcPr>
            <w:tcW w:w="0" w:type="auto"/>
            <w:vAlign w:val="center"/>
            <w:hideMark/>
          </w:tcPr>
          <w:p w:rsidR="003E3004" w:rsidRPr="00EA5F67" w:rsidRDefault="003E3004" w:rsidP="0024174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A5F67">
              <w:rPr>
                <w:rFonts w:ascii="Arial" w:hAnsi="Arial" w:cs="Arial"/>
                <w:b/>
                <w:bCs/>
                <w:sz w:val="22"/>
                <w:szCs w:val="22"/>
              </w:rPr>
              <w:t>Diagnostic</w:t>
            </w:r>
          </w:p>
        </w:tc>
        <w:tc>
          <w:tcPr>
            <w:tcW w:w="0" w:type="auto"/>
            <w:vAlign w:val="center"/>
            <w:hideMark/>
          </w:tcPr>
          <w:p w:rsidR="003E3004" w:rsidRPr="00EA5F67" w:rsidRDefault="003E3004" w:rsidP="0024174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A5F67">
              <w:rPr>
                <w:rFonts w:ascii="Arial" w:hAnsi="Arial" w:cs="Arial"/>
                <w:b/>
                <w:bCs/>
                <w:sz w:val="22"/>
                <w:szCs w:val="22"/>
              </w:rPr>
              <w:t>Minimum R̂</w:t>
            </w:r>
          </w:p>
        </w:tc>
        <w:tc>
          <w:tcPr>
            <w:tcW w:w="0" w:type="auto"/>
            <w:vAlign w:val="center"/>
            <w:hideMark/>
          </w:tcPr>
          <w:p w:rsidR="003E3004" w:rsidRPr="00EA5F67" w:rsidRDefault="003E3004" w:rsidP="0024174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A5F67">
              <w:rPr>
                <w:rFonts w:ascii="Arial" w:hAnsi="Arial" w:cs="Arial"/>
                <w:b/>
                <w:bCs/>
                <w:sz w:val="22"/>
                <w:szCs w:val="22"/>
              </w:rPr>
              <w:t>Maximum R̂</w:t>
            </w:r>
          </w:p>
        </w:tc>
        <w:tc>
          <w:tcPr>
            <w:tcW w:w="0" w:type="auto"/>
            <w:vAlign w:val="center"/>
            <w:hideMark/>
          </w:tcPr>
          <w:p w:rsidR="003E3004" w:rsidRPr="00EA5F67" w:rsidRDefault="003E3004" w:rsidP="0024174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A5F67">
              <w:rPr>
                <w:rFonts w:ascii="Arial" w:hAnsi="Arial" w:cs="Arial"/>
                <w:b/>
                <w:bCs/>
                <w:sz w:val="22"/>
                <w:szCs w:val="22"/>
              </w:rPr>
              <w:t>Convergence Criterion</w:t>
            </w:r>
          </w:p>
        </w:tc>
        <w:tc>
          <w:tcPr>
            <w:tcW w:w="0" w:type="auto"/>
            <w:vAlign w:val="center"/>
            <w:hideMark/>
          </w:tcPr>
          <w:p w:rsidR="003E3004" w:rsidRPr="00EA5F67" w:rsidRDefault="003E3004" w:rsidP="0024174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A5F67">
              <w:rPr>
                <w:rFonts w:ascii="Arial" w:hAnsi="Arial" w:cs="Arial"/>
                <w:b/>
                <w:bCs/>
                <w:sz w:val="22"/>
                <w:szCs w:val="22"/>
              </w:rPr>
              <w:t>Decision</w:t>
            </w:r>
          </w:p>
        </w:tc>
      </w:tr>
      <w:tr w:rsidR="003E3004" w:rsidRPr="00EA5F67" w:rsidTr="0024174F">
        <w:tc>
          <w:tcPr>
            <w:tcW w:w="0" w:type="auto"/>
            <w:vAlign w:val="center"/>
            <w:hideMark/>
          </w:tcPr>
          <w:p w:rsidR="003E3004" w:rsidRPr="00EA5F67" w:rsidRDefault="003E3004" w:rsidP="0024174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5F67">
              <w:rPr>
                <w:rFonts w:ascii="Arial" w:hAnsi="Arial" w:cs="Arial"/>
                <w:sz w:val="22"/>
                <w:szCs w:val="22"/>
              </w:rPr>
              <w:t>Gelman–Rubin (R̂)</w:t>
            </w:r>
          </w:p>
        </w:tc>
        <w:tc>
          <w:tcPr>
            <w:tcW w:w="0" w:type="auto"/>
            <w:vAlign w:val="center"/>
            <w:hideMark/>
          </w:tcPr>
          <w:p w:rsidR="003E3004" w:rsidRPr="00EA5F67" w:rsidRDefault="003E3004" w:rsidP="0024174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5F67">
              <w:rPr>
                <w:rFonts w:ascii="Arial" w:hAnsi="Arial" w:cs="Arial"/>
                <w:sz w:val="22"/>
                <w:szCs w:val="22"/>
              </w:rPr>
              <w:t>0.9999</w:t>
            </w:r>
          </w:p>
        </w:tc>
        <w:tc>
          <w:tcPr>
            <w:tcW w:w="0" w:type="auto"/>
            <w:vAlign w:val="center"/>
            <w:hideMark/>
          </w:tcPr>
          <w:p w:rsidR="003E3004" w:rsidRPr="00EA5F67" w:rsidRDefault="00EA5F67" w:rsidP="0024174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5F67">
              <w:rPr>
                <w:rFonts w:ascii="Arial" w:hAnsi="Arial" w:cs="Arial"/>
                <w:sz w:val="22"/>
                <w:szCs w:val="22"/>
              </w:rPr>
              <w:t>1.0003</w:t>
            </w:r>
          </w:p>
        </w:tc>
        <w:tc>
          <w:tcPr>
            <w:tcW w:w="0" w:type="auto"/>
            <w:vAlign w:val="center"/>
            <w:hideMark/>
          </w:tcPr>
          <w:p w:rsidR="003E3004" w:rsidRPr="00EA5F67" w:rsidRDefault="003E3004" w:rsidP="0024174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5F67">
              <w:rPr>
                <w:rFonts w:ascii="Arial" w:hAnsi="Arial" w:cs="Arial"/>
                <w:sz w:val="22"/>
                <w:szCs w:val="22"/>
              </w:rPr>
              <w:t>R̂ &lt; 1.01</w:t>
            </w:r>
          </w:p>
        </w:tc>
        <w:tc>
          <w:tcPr>
            <w:tcW w:w="0" w:type="auto"/>
            <w:vAlign w:val="center"/>
            <w:hideMark/>
          </w:tcPr>
          <w:p w:rsidR="003E3004" w:rsidRPr="00EA5F67" w:rsidRDefault="003E3004" w:rsidP="0024174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5F67">
              <w:rPr>
                <w:rFonts w:ascii="Arial" w:hAnsi="Arial" w:cs="Arial"/>
                <w:sz w:val="22"/>
                <w:szCs w:val="22"/>
              </w:rPr>
              <w:t>Converged</w:t>
            </w:r>
          </w:p>
        </w:tc>
      </w:tr>
    </w:tbl>
    <w:p w:rsidR="003E3004" w:rsidRPr="00EA5F67" w:rsidRDefault="003E3004" w:rsidP="00F84684">
      <w:pPr>
        <w:spacing w:line="360" w:lineRule="auto"/>
        <w:rPr>
          <w:rFonts w:ascii="Arial" w:hAnsi="Arial" w:cs="Arial"/>
          <w:b/>
          <w:bCs/>
          <w:lang w:val="en-US"/>
        </w:rPr>
      </w:pPr>
    </w:p>
    <w:p w:rsidR="00515E65" w:rsidRPr="00EA5F67" w:rsidRDefault="00515E65" w:rsidP="00F84684">
      <w:pPr>
        <w:spacing w:line="360" w:lineRule="auto"/>
        <w:rPr>
          <w:rFonts w:ascii="Arial" w:hAnsi="Arial" w:cs="Arial"/>
          <w:lang w:val="en-US"/>
        </w:rPr>
      </w:pPr>
      <w:r w:rsidRPr="00EA5F67">
        <w:rPr>
          <w:rFonts w:ascii="Arial" w:hAnsi="Arial" w:cs="Arial"/>
          <w:b/>
          <w:bCs/>
          <w:lang w:val="en-US"/>
        </w:rPr>
        <w:t xml:space="preserve">Supplementary Table </w:t>
      </w:r>
      <w:r w:rsidR="00EA5F67">
        <w:rPr>
          <w:rFonts w:ascii="Arial" w:hAnsi="Arial" w:cs="Arial"/>
          <w:b/>
          <w:bCs/>
          <w:lang w:val="en-US"/>
        </w:rPr>
        <w:t>4</w:t>
      </w:r>
      <w:r w:rsidRPr="00EA5F67">
        <w:rPr>
          <w:rFonts w:ascii="Arial" w:hAnsi="Arial" w:cs="Arial"/>
          <w:lang w:val="en-US"/>
        </w:rPr>
        <w:t xml:space="preserve"> </w:t>
      </w:r>
      <w:r w:rsidRPr="00EA5F67">
        <w:rPr>
          <w:rFonts w:ascii="Arial" w:hAnsi="Arial" w:cs="Arial"/>
        </w:rPr>
        <w:t>Posterior Odds Ratios and Convergence Diagnostics from Bayesian Logistic Regression with Informative Prior (</w:t>
      </w:r>
      <w:r w:rsidRPr="00EA5F67">
        <w:rPr>
          <w:rFonts w:ascii="Arial" w:hAnsi="Arial" w:cs="Arial"/>
          <w:lang w:val="en-US"/>
        </w:rPr>
        <w:t xml:space="preserve">No </w:t>
      </w:r>
      <w:r w:rsidRPr="00EA5F67">
        <w:rPr>
          <w:rFonts w:ascii="Arial" w:hAnsi="Arial" w:cs="Arial"/>
        </w:rPr>
        <w:t>Cluster)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946"/>
        <w:gridCol w:w="2039"/>
        <w:gridCol w:w="718"/>
        <w:gridCol w:w="1384"/>
        <w:gridCol w:w="717"/>
        <w:gridCol w:w="1106"/>
        <w:gridCol w:w="1106"/>
      </w:tblGrid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Variable</w:t>
            </w: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Characteristics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OR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95% CrI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R̂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Bulk ESS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Tail ESS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Intercept</w:t>
            </w: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(0.05, 0.07)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31,869.36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30,750.03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Age</w:t>
            </w: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18–34 years (Ref.)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35–64 years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2.52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(2.32, 2.74)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31,755.87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30,757.21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≥65 years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3.34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(2.95, 3.78)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31,511.51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30,907.16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Gender</w:t>
            </w: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Female (Ref.)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Male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0.92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(0.86, 0.99)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30,565.46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31,722.05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Education</w:t>
            </w: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education (Ref.)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Primary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1.14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(1.02, 1.27)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31,085.66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31,191.53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Secondary or above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1.08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(0.97, 1.19)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31,505.81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31,886.76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Marital Status</w:t>
            </w: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Not married (Ref.)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Married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1.12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(1.00, 1.25)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31,875.32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31,599.22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BMI</w:t>
            </w: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Normal/Underweight (Ref.)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Overweight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1.47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(1.34, 1.61)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31,273.09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31,802.81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Obesity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1.91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(1.64, 2.21)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31,572.48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30,391.85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Hypertension</w:t>
            </w: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(Ref.)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1.53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(1.42, 1.65)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32,082.10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32,003.31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Wealth Index</w:t>
            </w: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Poorest (Ref.)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Poorer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1.16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(1.01, 1.32)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32,366.44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31,556.54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Middle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1.39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(1.22, 1.58)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31,723.10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31,384.79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Richer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1.57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(1.38, 1.79)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31,896.85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29,838.67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Richest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2.20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(1.94, 2.51)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32,201.80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31,188.12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Residence</w:t>
            </w: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Rural (Ref.)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Urban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1.14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(1.05, 1.24)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31,600.43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31,848.78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Division</w:t>
            </w: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Dhaka (Ref.)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Barishal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0.71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(0.59, 0.85)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31,222.43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31,847.18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Chattogram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0.85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(0.76, 0.95)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32,371.97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31,929.67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Khulna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0.59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(0.51, 0.68)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32,211.60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31,930.96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Mymensingh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0.59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(0.50, 0.69)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32,042.38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31,834.75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Rajshahi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0.53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(0.46, 0.60)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29,859.02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30,509.20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Rangpur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0.76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(0.66, 0.88)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32,570.18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32,012.90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Sylhet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0.82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(0.69, 0.96)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31,571.91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32,011.39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Smoking Status</w:t>
            </w: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(Ref.)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0.98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(0.82, 1.17)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31,262.33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31,153.02</w:t>
            </w:r>
          </w:p>
        </w:tc>
      </w:tr>
      <w:tr w:rsidR="00EA5F67" w:rsidRPr="002C740D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Physical Exercise</w:t>
            </w: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(Ref.)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EA5F67" w:rsidTr="00EA5F67">
        <w:tc>
          <w:tcPr>
            <w:tcW w:w="2263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2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796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0.76</w:t>
            </w:r>
          </w:p>
        </w:tc>
        <w:tc>
          <w:tcPr>
            <w:tcW w:w="1556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(0.55, 1.04)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32,049.08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31,682.40</w:t>
            </w:r>
          </w:p>
        </w:tc>
      </w:tr>
    </w:tbl>
    <w:p w:rsidR="00F84684" w:rsidRPr="00EA5F67" w:rsidRDefault="00F84684" w:rsidP="00F84684">
      <w:pPr>
        <w:spacing w:line="360" w:lineRule="auto"/>
        <w:rPr>
          <w:rFonts w:ascii="Arial" w:hAnsi="Arial" w:cs="Arial"/>
        </w:rPr>
      </w:pPr>
    </w:p>
    <w:p w:rsidR="00E42C70" w:rsidRPr="00EA5F67" w:rsidRDefault="00E42C70" w:rsidP="00F84684">
      <w:pPr>
        <w:spacing w:line="360" w:lineRule="auto"/>
        <w:rPr>
          <w:rFonts w:ascii="Arial" w:hAnsi="Arial" w:cs="Arial"/>
          <w:b/>
          <w:bCs/>
          <w:lang w:val="en-US"/>
        </w:rPr>
      </w:pPr>
    </w:p>
    <w:p w:rsidR="00515E65" w:rsidRPr="00EA5F67" w:rsidRDefault="00515E65" w:rsidP="00F84684">
      <w:pPr>
        <w:spacing w:line="360" w:lineRule="auto"/>
        <w:rPr>
          <w:rFonts w:ascii="Arial" w:hAnsi="Arial" w:cs="Arial"/>
          <w:lang w:val="en-US"/>
        </w:rPr>
      </w:pPr>
      <w:r w:rsidRPr="00EA5F67">
        <w:rPr>
          <w:rFonts w:ascii="Arial" w:hAnsi="Arial" w:cs="Arial"/>
          <w:b/>
          <w:bCs/>
          <w:lang w:val="en-US"/>
        </w:rPr>
        <w:t xml:space="preserve">Supplementary Table </w:t>
      </w:r>
      <w:r w:rsidR="00EA5F67">
        <w:rPr>
          <w:rFonts w:ascii="Arial" w:hAnsi="Arial" w:cs="Arial"/>
          <w:b/>
          <w:bCs/>
          <w:lang w:val="en-US"/>
        </w:rPr>
        <w:t>5</w:t>
      </w:r>
      <w:r w:rsidRPr="00EA5F67">
        <w:rPr>
          <w:rFonts w:ascii="Arial" w:hAnsi="Arial" w:cs="Arial"/>
          <w:lang w:val="en-US"/>
        </w:rPr>
        <w:t xml:space="preserve"> </w:t>
      </w:r>
      <w:r w:rsidRPr="00EA5F67">
        <w:rPr>
          <w:rFonts w:ascii="Arial" w:hAnsi="Arial" w:cs="Arial"/>
        </w:rPr>
        <w:t>Posterior Odds Ratios and Convergence Diagnostics from Multilevel Bayesian Logistic Regression with</w:t>
      </w:r>
      <w:r w:rsidRPr="00EA5F67">
        <w:rPr>
          <w:rFonts w:ascii="Arial" w:hAnsi="Arial" w:cs="Arial"/>
          <w:lang w:val="en-US"/>
        </w:rPr>
        <w:t xml:space="preserve"> </w:t>
      </w:r>
      <w:r w:rsidRPr="00EA5F67">
        <w:rPr>
          <w:rFonts w:ascii="Arial" w:hAnsi="Arial" w:cs="Arial"/>
        </w:rPr>
        <w:t>Weakly Informative Prior (Cluster)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949"/>
        <w:gridCol w:w="2039"/>
        <w:gridCol w:w="827"/>
        <w:gridCol w:w="1272"/>
        <w:gridCol w:w="717"/>
        <w:gridCol w:w="1106"/>
        <w:gridCol w:w="1106"/>
      </w:tblGrid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Variable</w:t>
            </w: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Characteristics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OR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95% CrI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R̂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Bulk ESS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Tail ESS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Intercept</w:t>
            </w: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(0.03, 0.06)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31,559.42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31,761.60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Age</w:t>
            </w: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18–34 years (Ref.)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35–64 years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2.79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(2.45, 3.18)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32,293.47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31,888.92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≥65 years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3.75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(3.10, 4.53)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31,929.33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31,060.77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Gender</w:t>
            </w: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Female (Ref.)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Male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0.88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(0.80, 0.98)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32,672.56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31,973.74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Education</w:t>
            </w: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education (Ref.)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Primary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1.14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(0.98, 1.31)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31,718.12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31,295.44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Secondary or above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1.11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(0.96, 1.29)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31,973.75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30,998.50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Marital Status</w:t>
            </w: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Not married (Ref.)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Married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1.06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(0.92, 1.22)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32,066.72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32,057.51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BMI</w:t>
            </w: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Normal/Underweight (Ref.)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Overweight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1.40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(1.24, 1.57)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32,493.72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32,289.06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Obesity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1.94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(1.59, 2.38)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32,705.74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32,125.83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Hypertension</w:t>
            </w: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(Ref.)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1.63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(1.45, 1.84)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32,321.44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31,596.93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Wealth Index</w:t>
            </w: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Poorest (Ref.)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Poorer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1.16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(0.96, 1.40)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31,560.68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31,598.78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Middle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1.31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(1.08, 1.58)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31,479.22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31,631.37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Richer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1.49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(1.23, 1.81)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31,851.20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31,717.24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Richest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2.03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(1.66, 2.49)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32,013.58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31,725.50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Residence</w:t>
            </w: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Rural (Ref.)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Urban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1.38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(1.17, 1.62)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30,973.30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31,053.83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Division</w:t>
            </w: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Dhaka (Ref.)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Barishal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0.78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(0.57, 1.06)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32,630.63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32,003.87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Chattogram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0.98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(0.77, 1.25)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31,211.36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31,448.26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Khulna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0.70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(0.54, 0.91)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30,961.11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31,430.12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Mymensingh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0.64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(0.47, 0.85)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31,612.39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31,432.95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Rajshahi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(0.43, 0.73)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32,250.77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31,762.69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Rangpur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0.89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(0.68, 1.15)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29,706.38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31,053.80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Sylhet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0.97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(0.72, 1.30)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31,449.07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31,256.99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Smoking Status</w:t>
            </w: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(Ref.)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0.99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(0.82, 1.19)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32,162.21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31,549.99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Physical Exercise</w:t>
            </w: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(Ref.)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</w:p>
        </w:tc>
      </w:tr>
      <w:tr w:rsidR="00EA5F67" w:rsidRPr="002C740D" w:rsidTr="00EA5F67">
        <w:tc>
          <w:tcPr>
            <w:tcW w:w="1949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39" w:type="dxa"/>
            <w:hideMark/>
          </w:tcPr>
          <w:p w:rsidR="002C740D" w:rsidRPr="002C740D" w:rsidRDefault="002C740D" w:rsidP="002C740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827" w:type="dxa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0.77</w:t>
            </w:r>
          </w:p>
        </w:tc>
        <w:tc>
          <w:tcPr>
            <w:tcW w:w="1272" w:type="dxa"/>
            <w:hideMark/>
          </w:tcPr>
          <w:p w:rsidR="002C740D" w:rsidRPr="002C740D" w:rsidRDefault="002C740D" w:rsidP="002C740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(0.55, 1.06)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1.000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31,609.16</w:t>
            </w:r>
          </w:p>
        </w:tc>
        <w:tc>
          <w:tcPr>
            <w:tcW w:w="0" w:type="auto"/>
            <w:hideMark/>
          </w:tcPr>
          <w:p w:rsidR="002C740D" w:rsidRPr="002C740D" w:rsidRDefault="002C740D" w:rsidP="002C740D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C74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31,480.84</w:t>
            </w:r>
          </w:p>
        </w:tc>
      </w:tr>
    </w:tbl>
    <w:p w:rsidR="00F84684" w:rsidRPr="00EA5F67" w:rsidRDefault="00F84684" w:rsidP="00F84684">
      <w:pPr>
        <w:spacing w:line="360" w:lineRule="auto"/>
        <w:rPr>
          <w:rFonts w:ascii="Arial" w:hAnsi="Arial" w:cs="Arial"/>
        </w:rPr>
      </w:pPr>
    </w:p>
    <w:p w:rsidR="002F5203" w:rsidRPr="00EA5F67" w:rsidRDefault="00146950" w:rsidP="002F520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4037453" cy="6840000"/>
            <wp:effectExtent l="0" t="0" r="1270" b="5715"/>
            <wp:docPr id="1219122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12232" name="Picture 12191223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453" cy="68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6A3D" w:rsidRPr="00EA5F67" w:rsidRDefault="002F5203" w:rsidP="002F5203">
      <w:pPr>
        <w:spacing w:line="360" w:lineRule="auto"/>
        <w:rPr>
          <w:rFonts w:ascii="Arial" w:hAnsi="Arial" w:cs="Arial"/>
          <w:lang w:val="en-US"/>
        </w:rPr>
      </w:pPr>
      <w:r w:rsidRPr="00EA5F67">
        <w:rPr>
          <w:rFonts w:ascii="Arial" w:hAnsi="Arial" w:cs="Arial"/>
          <w:b/>
          <w:bCs/>
          <w:lang w:val="en-US"/>
        </w:rPr>
        <w:t xml:space="preserve">Supplementary </w:t>
      </w:r>
      <w:r w:rsidRPr="00EA5F67">
        <w:rPr>
          <w:rFonts w:ascii="Arial" w:hAnsi="Arial" w:cs="Arial"/>
          <w:b/>
          <w:bCs/>
        </w:rPr>
        <w:t xml:space="preserve">Figure </w:t>
      </w:r>
      <w:r w:rsidRPr="00EA5F67">
        <w:rPr>
          <w:rFonts w:ascii="Arial" w:hAnsi="Arial" w:cs="Arial"/>
          <w:b/>
          <w:bCs/>
          <w:lang w:val="en-US"/>
        </w:rPr>
        <w:t>1</w:t>
      </w:r>
      <w:r w:rsidRPr="00EA5F67">
        <w:rPr>
          <w:rFonts w:ascii="Arial" w:hAnsi="Arial" w:cs="Arial"/>
          <w:b/>
          <w:bCs/>
        </w:rPr>
        <w:t>:</w:t>
      </w:r>
      <w:r w:rsidRPr="00EA5F67">
        <w:rPr>
          <w:rFonts w:ascii="Arial" w:hAnsi="Arial" w:cs="Arial"/>
          <w:b/>
          <w:bCs/>
          <w:lang w:val="en-US"/>
        </w:rPr>
        <w:t xml:space="preserve"> </w:t>
      </w:r>
      <w:r w:rsidRPr="00EA5F67">
        <w:rPr>
          <w:rFonts w:ascii="Arial" w:hAnsi="Arial" w:cs="Arial"/>
          <w:color w:val="000000" w:themeColor="text1"/>
        </w:rPr>
        <w:t xml:space="preserve">Trace, ACF, and Density plots of covariance estimates from MCMC-based </w:t>
      </w:r>
      <w:r w:rsidR="00BF70E5">
        <w:rPr>
          <w:rFonts w:ascii="Arial" w:hAnsi="Arial" w:cs="Arial"/>
          <w:color w:val="000000" w:themeColor="text1"/>
        </w:rPr>
        <w:t>multi</w:t>
      </w:r>
      <w:r w:rsidR="00E16FB5" w:rsidRPr="00EA5F67">
        <w:rPr>
          <w:rFonts w:ascii="Arial" w:hAnsi="Arial" w:cs="Arial"/>
          <w:color w:val="000000" w:themeColor="text1"/>
          <w:lang w:val="en-US"/>
        </w:rPr>
        <w:t xml:space="preserve">level </w:t>
      </w:r>
      <w:r w:rsidRPr="00EA5F67">
        <w:rPr>
          <w:rFonts w:ascii="Arial" w:hAnsi="Arial" w:cs="Arial"/>
          <w:color w:val="000000" w:themeColor="text1"/>
        </w:rPr>
        <w:t>Bayesian logistic</w:t>
      </w:r>
      <w:r w:rsidR="00E16FB5" w:rsidRPr="00EA5F67">
        <w:rPr>
          <w:rFonts w:ascii="Arial" w:hAnsi="Arial" w:cs="Arial"/>
          <w:color w:val="000000" w:themeColor="text1"/>
          <w:lang w:val="en-US"/>
        </w:rPr>
        <w:t xml:space="preserve"> with informative prior</w:t>
      </w:r>
      <w:r w:rsidRPr="00EA5F67">
        <w:rPr>
          <w:rFonts w:ascii="Arial" w:hAnsi="Arial" w:cs="Arial"/>
          <w:color w:val="000000" w:themeColor="text1"/>
        </w:rPr>
        <w:t>.</w:t>
      </w:r>
    </w:p>
    <w:p w:rsidR="002F5203" w:rsidRPr="00EA5F67" w:rsidRDefault="00146950" w:rsidP="002F520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4839147" cy="6840000"/>
            <wp:effectExtent l="0" t="0" r="0" b="5715"/>
            <wp:docPr id="16948422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842268" name="Picture 16948422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147" cy="68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203" w:rsidRPr="00EA5F67" w:rsidRDefault="002F5203" w:rsidP="002F5203">
      <w:pPr>
        <w:spacing w:line="360" w:lineRule="auto"/>
        <w:rPr>
          <w:rFonts w:ascii="Arial" w:hAnsi="Arial" w:cs="Arial"/>
          <w:lang w:val="en-US"/>
        </w:rPr>
      </w:pPr>
      <w:r w:rsidRPr="00EA5F67">
        <w:rPr>
          <w:rFonts w:ascii="Arial" w:hAnsi="Arial" w:cs="Arial"/>
          <w:b/>
          <w:bCs/>
          <w:lang w:val="en-US"/>
        </w:rPr>
        <w:t xml:space="preserve">Supplementary </w:t>
      </w:r>
      <w:r w:rsidRPr="00EA5F67">
        <w:rPr>
          <w:rFonts w:ascii="Arial" w:hAnsi="Arial" w:cs="Arial"/>
          <w:b/>
          <w:bCs/>
        </w:rPr>
        <w:t xml:space="preserve">Figure </w:t>
      </w:r>
      <w:r w:rsidRPr="00EA5F67">
        <w:rPr>
          <w:rFonts w:ascii="Arial" w:hAnsi="Arial" w:cs="Arial"/>
          <w:b/>
          <w:bCs/>
          <w:lang w:val="en-US"/>
        </w:rPr>
        <w:t>2</w:t>
      </w:r>
      <w:r w:rsidRPr="00EA5F67">
        <w:rPr>
          <w:rFonts w:ascii="Arial" w:hAnsi="Arial" w:cs="Arial"/>
          <w:b/>
          <w:bCs/>
        </w:rPr>
        <w:t>:</w:t>
      </w:r>
      <w:r w:rsidRPr="00EA5F67">
        <w:rPr>
          <w:rFonts w:ascii="Arial" w:hAnsi="Arial" w:cs="Arial"/>
          <w:b/>
          <w:bCs/>
          <w:lang w:val="en-US"/>
        </w:rPr>
        <w:t xml:space="preserve"> </w:t>
      </w:r>
      <w:r w:rsidRPr="00EA5F67">
        <w:rPr>
          <w:rFonts w:ascii="Arial" w:hAnsi="Arial" w:cs="Arial"/>
          <w:color w:val="000000" w:themeColor="text1"/>
        </w:rPr>
        <w:t xml:space="preserve">Trace, ACF, and Density plots of covariance estimates from MCMC-based </w:t>
      </w:r>
      <w:r w:rsidR="00E16FB5" w:rsidRPr="00EA5F67">
        <w:rPr>
          <w:rFonts w:ascii="Arial" w:hAnsi="Arial" w:cs="Arial"/>
          <w:color w:val="000000" w:themeColor="text1"/>
          <w:lang w:val="en-US"/>
        </w:rPr>
        <w:t xml:space="preserve">Multi-level </w:t>
      </w:r>
      <w:r w:rsidR="00E16FB5" w:rsidRPr="00EA5F67">
        <w:rPr>
          <w:rFonts w:ascii="Arial" w:hAnsi="Arial" w:cs="Arial"/>
          <w:color w:val="000000" w:themeColor="text1"/>
        </w:rPr>
        <w:t>Bayesian logistic</w:t>
      </w:r>
      <w:r w:rsidR="00E16FB5" w:rsidRPr="00EA5F67">
        <w:rPr>
          <w:rFonts w:ascii="Arial" w:hAnsi="Arial" w:cs="Arial"/>
          <w:color w:val="000000" w:themeColor="text1"/>
          <w:lang w:val="en-US"/>
        </w:rPr>
        <w:t xml:space="preserve"> with informative prior</w:t>
      </w:r>
      <w:r w:rsidR="00E16FB5" w:rsidRPr="00EA5F67">
        <w:rPr>
          <w:rFonts w:ascii="Arial" w:hAnsi="Arial" w:cs="Arial"/>
          <w:color w:val="000000" w:themeColor="text1"/>
        </w:rPr>
        <w:t>.</w:t>
      </w:r>
    </w:p>
    <w:p w:rsidR="00E16FB5" w:rsidRPr="00EA5F67" w:rsidRDefault="00146950" w:rsidP="00F84684">
      <w:pPr>
        <w:spacing w:line="360" w:lineRule="auto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lastRenderedPageBreak/>
        <w:drawing>
          <wp:inline distT="0" distB="0" distL="0" distR="0">
            <wp:extent cx="4839147" cy="6840000"/>
            <wp:effectExtent l="0" t="0" r="0" b="5715"/>
            <wp:docPr id="17793871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387129" name="Picture 177938712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147" cy="68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FB5" w:rsidRPr="00EA5F67" w:rsidRDefault="00E16FB5" w:rsidP="00E16FB5">
      <w:pPr>
        <w:spacing w:line="360" w:lineRule="auto"/>
        <w:rPr>
          <w:rFonts w:ascii="Arial" w:hAnsi="Arial" w:cs="Arial"/>
          <w:lang w:val="en-US"/>
        </w:rPr>
      </w:pPr>
      <w:r w:rsidRPr="00EA5F67">
        <w:rPr>
          <w:rFonts w:ascii="Arial" w:hAnsi="Arial" w:cs="Arial"/>
          <w:b/>
          <w:bCs/>
          <w:lang w:val="en-US"/>
        </w:rPr>
        <w:t xml:space="preserve">Supplementary </w:t>
      </w:r>
      <w:r w:rsidRPr="00EA5F67">
        <w:rPr>
          <w:rFonts w:ascii="Arial" w:hAnsi="Arial" w:cs="Arial"/>
          <w:b/>
          <w:bCs/>
        </w:rPr>
        <w:t xml:space="preserve">Figure </w:t>
      </w:r>
      <w:r w:rsidRPr="00EA5F67">
        <w:rPr>
          <w:rFonts w:ascii="Arial" w:hAnsi="Arial" w:cs="Arial"/>
          <w:b/>
          <w:bCs/>
          <w:lang w:val="en-US"/>
        </w:rPr>
        <w:t>3</w:t>
      </w:r>
      <w:r w:rsidRPr="00EA5F67">
        <w:rPr>
          <w:rFonts w:ascii="Arial" w:hAnsi="Arial" w:cs="Arial"/>
          <w:b/>
          <w:bCs/>
        </w:rPr>
        <w:t>:</w:t>
      </w:r>
      <w:r w:rsidRPr="00EA5F67">
        <w:rPr>
          <w:rFonts w:ascii="Arial" w:hAnsi="Arial" w:cs="Arial"/>
          <w:b/>
          <w:bCs/>
          <w:lang w:val="en-US"/>
        </w:rPr>
        <w:t xml:space="preserve"> </w:t>
      </w:r>
      <w:r w:rsidRPr="00EA5F67">
        <w:rPr>
          <w:rFonts w:ascii="Arial" w:hAnsi="Arial" w:cs="Arial"/>
          <w:color w:val="000000" w:themeColor="text1"/>
        </w:rPr>
        <w:t>Trace, ACF, and Density plots of covariance estimates from MCMC-based Bayesian logistic</w:t>
      </w:r>
      <w:r w:rsidRPr="00EA5F67">
        <w:rPr>
          <w:rFonts w:ascii="Arial" w:hAnsi="Arial" w:cs="Arial"/>
          <w:color w:val="000000" w:themeColor="text1"/>
          <w:lang w:val="en-US"/>
        </w:rPr>
        <w:t xml:space="preserve"> with informative prior</w:t>
      </w:r>
      <w:r w:rsidRPr="00EA5F67">
        <w:rPr>
          <w:rFonts w:ascii="Arial" w:hAnsi="Arial" w:cs="Arial"/>
          <w:color w:val="000000" w:themeColor="text1"/>
        </w:rPr>
        <w:t>.</w:t>
      </w:r>
    </w:p>
    <w:p w:rsidR="00E16FB5" w:rsidRPr="00EA5F67" w:rsidRDefault="00146950" w:rsidP="00F84684">
      <w:pPr>
        <w:spacing w:line="360" w:lineRule="auto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lastRenderedPageBreak/>
        <w:drawing>
          <wp:inline distT="0" distB="0" distL="0" distR="0">
            <wp:extent cx="4037452" cy="6840000"/>
            <wp:effectExtent l="0" t="0" r="1270" b="5715"/>
            <wp:docPr id="17470259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025933" name="Picture 174702593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452" cy="68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FB5" w:rsidRPr="00EA5F67" w:rsidRDefault="00E16FB5" w:rsidP="00E16FB5">
      <w:pPr>
        <w:spacing w:line="360" w:lineRule="auto"/>
        <w:rPr>
          <w:rFonts w:ascii="Arial" w:hAnsi="Arial" w:cs="Arial"/>
          <w:lang w:val="en-US"/>
        </w:rPr>
      </w:pPr>
      <w:r w:rsidRPr="00EA5F67">
        <w:rPr>
          <w:rFonts w:ascii="Arial" w:hAnsi="Arial" w:cs="Arial"/>
          <w:b/>
          <w:bCs/>
          <w:lang w:val="en-US"/>
        </w:rPr>
        <w:t xml:space="preserve">Supplementary </w:t>
      </w:r>
      <w:r w:rsidRPr="00EA5F67">
        <w:rPr>
          <w:rFonts w:ascii="Arial" w:hAnsi="Arial" w:cs="Arial"/>
          <w:b/>
          <w:bCs/>
        </w:rPr>
        <w:t xml:space="preserve">Figure </w:t>
      </w:r>
      <w:r w:rsidRPr="00EA5F67">
        <w:rPr>
          <w:rFonts w:ascii="Arial" w:hAnsi="Arial" w:cs="Arial"/>
          <w:b/>
          <w:bCs/>
          <w:lang w:val="en-US"/>
        </w:rPr>
        <w:t>4</w:t>
      </w:r>
      <w:r w:rsidRPr="00EA5F67">
        <w:rPr>
          <w:rFonts w:ascii="Arial" w:hAnsi="Arial" w:cs="Arial"/>
          <w:b/>
          <w:bCs/>
        </w:rPr>
        <w:t>:</w:t>
      </w:r>
      <w:r w:rsidRPr="00EA5F67">
        <w:rPr>
          <w:rFonts w:ascii="Arial" w:hAnsi="Arial" w:cs="Arial"/>
          <w:b/>
          <w:bCs/>
          <w:lang w:val="en-US"/>
        </w:rPr>
        <w:t xml:space="preserve"> </w:t>
      </w:r>
      <w:r w:rsidRPr="00EA5F67">
        <w:rPr>
          <w:rFonts w:ascii="Arial" w:hAnsi="Arial" w:cs="Arial"/>
        </w:rPr>
        <w:t>Trace, ACF, and Density plots of covariance estimates from MCMC-based Bayesian logistic</w:t>
      </w:r>
      <w:r w:rsidRPr="00EA5F67">
        <w:rPr>
          <w:rFonts w:ascii="Arial" w:hAnsi="Arial" w:cs="Arial"/>
          <w:lang w:val="en-US"/>
        </w:rPr>
        <w:t xml:space="preserve"> with informative prior</w:t>
      </w:r>
      <w:r w:rsidRPr="00EA5F67">
        <w:rPr>
          <w:rFonts w:ascii="Arial" w:hAnsi="Arial" w:cs="Arial"/>
        </w:rPr>
        <w:t>.</w:t>
      </w:r>
    </w:p>
    <w:p w:rsidR="00F84684" w:rsidRPr="00EA5F67" w:rsidRDefault="00146950" w:rsidP="00F84684">
      <w:pPr>
        <w:spacing w:line="360" w:lineRule="auto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lastRenderedPageBreak/>
        <w:drawing>
          <wp:inline distT="0" distB="0" distL="0" distR="0">
            <wp:extent cx="4839147" cy="6840000"/>
            <wp:effectExtent l="0" t="0" r="0" b="5715"/>
            <wp:docPr id="6376224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622411" name="Picture 6376224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147" cy="68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FB5" w:rsidRPr="00EA5F67" w:rsidRDefault="00E16FB5" w:rsidP="00E16FB5">
      <w:pPr>
        <w:spacing w:line="360" w:lineRule="auto"/>
        <w:rPr>
          <w:rFonts w:ascii="Arial" w:hAnsi="Arial" w:cs="Arial"/>
          <w:lang w:val="en-US"/>
        </w:rPr>
      </w:pPr>
      <w:r w:rsidRPr="00EA5F67">
        <w:rPr>
          <w:rFonts w:ascii="Arial" w:hAnsi="Arial" w:cs="Arial"/>
          <w:b/>
          <w:bCs/>
          <w:lang w:val="en-US"/>
        </w:rPr>
        <w:t xml:space="preserve">Supplementary </w:t>
      </w:r>
      <w:r w:rsidRPr="00EA5F67">
        <w:rPr>
          <w:rFonts w:ascii="Arial" w:hAnsi="Arial" w:cs="Arial"/>
          <w:b/>
          <w:bCs/>
        </w:rPr>
        <w:t xml:space="preserve">Figure </w:t>
      </w:r>
      <w:r w:rsidRPr="00EA5F67">
        <w:rPr>
          <w:rFonts w:ascii="Arial" w:hAnsi="Arial" w:cs="Arial"/>
          <w:b/>
          <w:bCs/>
          <w:lang w:val="en-US"/>
        </w:rPr>
        <w:t>5</w:t>
      </w:r>
      <w:r w:rsidRPr="00EA5F67">
        <w:rPr>
          <w:rFonts w:ascii="Arial" w:hAnsi="Arial" w:cs="Arial"/>
          <w:b/>
          <w:bCs/>
        </w:rPr>
        <w:t>:</w:t>
      </w:r>
      <w:r w:rsidRPr="00EA5F67">
        <w:rPr>
          <w:rFonts w:ascii="Arial" w:hAnsi="Arial" w:cs="Arial"/>
          <w:b/>
          <w:bCs/>
          <w:lang w:val="en-US"/>
        </w:rPr>
        <w:t xml:space="preserve"> </w:t>
      </w:r>
      <w:r w:rsidRPr="00EA5F67">
        <w:rPr>
          <w:rFonts w:ascii="Arial" w:hAnsi="Arial" w:cs="Arial"/>
          <w:color w:val="000000" w:themeColor="text1"/>
        </w:rPr>
        <w:t>Trace, ACF, and Density plots of covariance estimates from MCMC-based Bayesian logistic</w:t>
      </w:r>
      <w:r w:rsidRPr="00EA5F67">
        <w:rPr>
          <w:rFonts w:ascii="Arial" w:hAnsi="Arial" w:cs="Arial"/>
          <w:color w:val="000000" w:themeColor="text1"/>
          <w:lang w:val="en-US"/>
        </w:rPr>
        <w:t xml:space="preserve"> with informative prior</w:t>
      </w:r>
      <w:r w:rsidRPr="00EA5F67">
        <w:rPr>
          <w:rFonts w:ascii="Arial" w:hAnsi="Arial" w:cs="Arial"/>
          <w:color w:val="000000" w:themeColor="text1"/>
        </w:rPr>
        <w:t>.</w:t>
      </w:r>
    </w:p>
    <w:p w:rsidR="00E16FB5" w:rsidRPr="00EA5F67" w:rsidRDefault="00E16FB5" w:rsidP="00F84684">
      <w:pPr>
        <w:spacing w:line="360" w:lineRule="auto"/>
        <w:jc w:val="center"/>
        <w:rPr>
          <w:rFonts w:ascii="Arial" w:hAnsi="Arial" w:cs="Arial"/>
          <w:lang w:val="en-US"/>
        </w:rPr>
      </w:pPr>
    </w:p>
    <w:p w:rsidR="00E16FB5" w:rsidRPr="00EA5F67" w:rsidRDefault="00146950" w:rsidP="00F84684">
      <w:pPr>
        <w:spacing w:line="360" w:lineRule="auto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lastRenderedPageBreak/>
        <w:drawing>
          <wp:inline distT="0" distB="0" distL="0" distR="0">
            <wp:extent cx="4839147" cy="6840000"/>
            <wp:effectExtent l="0" t="0" r="0" b="5715"/>
            <wp:docPr id="147339740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397405" name="Picture 147339740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147" cy="68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FB5" w:rsidRDefault="00E16FB5" w:rsidP="00146950">
      <w:pPr>
        <w:spacing w:line="360" w:lineRule="auto"/>
        <w:rPr>
          <w:rFonts w:ascii="Arial" w:hAnsi="Arial" w:cs="Arial"/>
          <w:lang w:val="en-US"/>
        </w:rPr>
      </w:pPr>
      <w:r w:rsidRPr="00EA5F67">
        <w:rPr>
          <w:rFonts w:ascii="Arial" w:hAnsi="Arial" w:cs="Arial"/>
          <w:b/>
          <w:bCs/>
          <w:lang w:val="en-US"/>
        </w:rPr>
        <w:t xml:space="preserve">Supplementary </w:t>
      </w:r>
      <w:r w:rsidRPr="00EA5F67">
        <w:rPr>
          <w:rFonts w:ascii="Arial" w:hAnsi="Arial" w:cs="Arial"/>
          <w:b/>
          <w:bCs/>
        </w:rPr>
        <w:t xml:space="preserve">Figure </w:t>
      </w:r>
      <w:r w:rsidRPr="00EA5F67">
        <w:rPr>
          <w:rFonts w:ascii="Arial" w:hAnsi="Arial" w:cs="Arial"/>
          <w:b/>
          <w:bCs/>
          <w:lang w:val="en-US"/>
        </w:rPr>
        <w:t>6</w:t>
      </w:r>
      <w:r w:rsidRPr="00EA5F67">
        <w:rPr>
          <w:rFonts w:ascii="Arial" w:hAnsi="Arial" w:cs="Arial"/>
          <w:b/>
          <w:bCs/>
        </w:rPr>
        <w:t>:</w:t>
      </w:r>
      <w:r w:rsidRPr="00EA5F67">
        <w:rPr>
          <w:rFonts w:ascii="Arial" w:hAnsi="Arial" w:cs="Arial"/>
          <w:b/>
          <w:bCs/>
          <w:lang w:val="en-US"/>
        </w:rPr>
        <w:t xml:space="preserve"> </w:t>
      </w:r>
      <w:r w:rsidRPr="00EA5F67">
        <w:rPr>
          <w:rFonts w:ascii="Arial" w:hAnsi="Arial" w:cs="Arial"/>
          <w:color w:val="000000" w:themeColor="text1"/>
        </w:rPr>
        <w:t xml:space="preserve">Trace, ACF, and Density plots of covariance estimates from MCMC-based </w:t>
      </w:r>
      <w:r w:rsidRPr="00EA5F67">
        <w:rPr>
          <w:rFonts w:ascii="Arial" w:hAnsi="Arial" w:cs="Arial"/>
          <w:color w:val="000000" w:themeColor="text1"/>
          <w:lang w:val="en-US"/>
        </w:rPr>
        <w:t xml:space="preserve">Multi-level </w:t>
      </w:r>
      <w:r w:rsidRPr="00EA5F67">
        <w:rPr>
          <w:rFonts w:ascii="Arial" w:hAnsi="Arial" w:cs="Arial"/>
          <w:color w:val="000000" w:themeColor="text1"/>
        </w:rPr>
        <w:t>Bayesian logistic</w:t>
      </w:r>
      <w:r w:rsidRPr="00EA5F67">
        <w:rPr>
          <w:rFonts w:ascii="Arial" w:hAnsi="Arial" w:cs="Arial"/>
          <w:color w:val="000000" w:themeColor="text1"/>
          <w:lang w:val="en-US"/>
        </w:rPr>
        <w:t xml:space="preserve"> with weakly informative prior</w:t>
      </w:r>
      <w:r w:rsidRPr="00EA5F67">
        <w:rPr>
          <w:rFonts w:ascii="Arial" w:hAnsi="Arial" w:cs="Arial"/>
          <w:color w:val="000000" w:themeColor="text1"/>
        </w:rPr>
        <w:t>.</w:t>
      </w:r>
    </w:p>
    <w:p w:rsidR="00146950" w:rsidRPr="00EA5F67" w:rsidRDefault="00146950" w:rsidP="00146950">
      <w:pPr>
        <w:spacing w:line="360" w:lineRule="auto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lastRenderedPageBreak/>
        <w:drawing>
          <wp:inline distT="0" distB="0" distL="0" distR="0">
            <wp:extent cx="4037452" cy="6840000"/>
            <wp:effectExtent l="0" t="0" r="1270" b="5715"/>
            <wp:docPr id="13969432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943257" name="Picture 139694325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452" cy="68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FB5" w:rsidRPr="00EA5F67" w:rsidRDefault="00E16FB5" w:rsidP="00E16FB5">
      <w:pPr>
        <w:spacing w:line="360" w:lineRule="auto"/>
        <w:rPr>
          <w:rFonts w:ascii="Arial" w:hAnsi="Arial" w:cs="Arial"/>
          <w:lang w:val="en-US"/>
        </w:rPr>
      </w:pPr>
      <w:r w:rsidRPr="00EA5F67">
        <w:rPr>
          <w:rFonts w:ascii="Arial" w:hAnsi="Arial" w:cs="Arial"/>
          <w:b/>
          <w:bCs/>
          <w:lang w:val="en-US"/>
        </w:rPr>
        <w:t xml:space="preserve">Supplementary </w:t>
      </w:r>
      <w:r w:rsidRPr="00EA5F67">
        <w:rPr>
          <w:rFonts w:ascii="Arial" w:hAnsi="Arial" w:cs="Arial"/>
          <w:b/>
          <w:bCs/>
        </w:rPr>
        <w:t xml:space="preserve">Figure </w:t>
      </w:r>
      <w:r w:rsidRPr="00EA5F67">
        <w:rPr>
          <w:rFonts w:ascii="Arial" w:hAnsi="Arial" w:cs="Arial"/>
          <w:b/>
          <w:bCs/>
          <w:lang w:val="en-US"/>
        </w:rPr>
        <w:t>7</w:t>
      </w:r>
      <w:r w:rsidRPr="00EA5F67">
        <w:rPr>
          <w:rFonts w:ascii="Arial" w:hAnsi="Arial" w:cs="Arial"/>
          <w:b/>
          <w:bCs/>
        </w:rPr>
        <w:t>:</w:t>
      </w:r>
      <w:r w:rsidRPr="00EA5F67">
        <w:rPr>
          <w:rFonts w:ascii="Arial" w:hAnsi="Arial" w:cs="Arial"/>
          <w:b/>
          <w:bCs/>
          <w:lang w:val="en-US"/>
        </w:rPr>
        <w:t xml:space="preserve"> </w:t>
      </w:r>
      <w:r w:rsidRPr="00EA5F67">
        <w:rPr>
          <w:rFonts w:ascii="Arial" w:hAnsi="Arial" w:cs="Arial"/>
          <w:color w:val="000000" w:themeColor="text1"/>
        </w:rPr>
        <w:t xml:space="preserve">Trace, ACF, and Density plots of covariance estimates from MCMC-based </w:t>
      </w:r>
      <w:r w:rsidRPr="00EA5F67">
        <w:rPr>
          <w:rFonts w:ascii="Arial" w:hAnsi="Arial" w:cs="Arial"/>
          <w:color w:val="000000" w:themeColor="text1"/>
          <w:lang w:val="en-US"/>
        </w:rPr>
        <w:t xml:space="preserve">Multi-level </w:t>
      </w:r>
      <w:r w:rsidRPr="00EA5F67">
        <w:rPr>
          <w:rFonts w:ascii="Arial" w:hAnsi="Arial" w:cs="Arial"/>
          <w:color w:val="000000" w:themeColor="text1"/>
        </w:rPr>
        <w:t>Bayesian logistic</w:t>
      </w:r>
      <w:r w:rsidRPr="00EA5F67">
        <w:rPr>
          <w:rFonts w:ascii="Arial" w:hAnsi="Arial" w:cs="Arial"/>
          <w:color w:val="000000" w:themeColor="text1"/>
          <w:lang w:val="en-US"/>
        </w:rPr>
        <w:t xml:space="preserve"> with weakly informative prior</w:t>
      </w:r>
      <w:r w:rsidRPr="00EA5F67">
        <w:rPr>
          <w:rFonts w:ascii="Arial" w:hAnsi="Arial" w:cs="Arial"/>
          <w:color w:val="000000" w:themeColor="text1"/>
        </w:rPr>
        <w:t>.</w:t>
      </w:r>
    </w:p>
    <w:p w:rsidR="00F84684" w:rsidRPr="00EA5F67" w:rsidRDefault="00146950" w:rsidP="00F84684">
      <w:pPr>
        <w:spacing w:line="360" w:lineRule="auto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lastRenderedPageBreak/>
        <w:drawing>
          <wp:inline distT="0" distB="0" distL="0" distR="0">
            <wp:extent cx="4839147" cy="6840000"/>
            <wp:effectExtent l="0" t="0" r="0" b="5715"/>
            <wp:docPr id="41108167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081675" name="Picture 41108167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147" cy="68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FB5" w:rsidRPr="00EA5F67" w:rsidRDefault="00E16FB5" w:rsidP="00E16FB5">
      <w:pPr>
        <w:spacing w:line="360" w:lineRule="auto"/>
        <w:rPr>
          <w:rFonts w:ascii="Arial" w:hAnsi="Arial" w:cs="Arial"/>
          <w:lang w:val="en-US"/>
        </w:rPr>
      </w:pPr>
      <w:r w:rsidRPr="00EA5F67">
        <w:rPr>
          <w:rFonts w:ascii="Arial" w:hAnsi="Arial" w:cs="Arial"/>
          <w:b/>
          <w:bCs/>
          <w:lang w:val="en-US"/>
        </w:rPr>
        <w:t xml:space="preserve">Supplementary </w:t>
      </w:r>
      <w:r w:rsidRPr="00EA5F67">
        <w:rPr>
          <w:rFonts w:ascii="Arial" w:hAnsi="Arial" w:cs="Arial"/>
          <w:b/>
          <w:bCs/>
        </w:rPr>
        <w:t xml:space="preserve">Figure </w:t>
      </w:r>
      <w:r w:rsidRPr="00EA5F67">
        <w:rPr>
          <w:rFonts w:ascii="Arial" w:hAnsi="Arial" w:cs="Arial"/>
          <w:b/>
          <w:bCs/>
          <w:lang w:val="en-US"/>
        </w:rPr>
        <w:t>8</w:t>
      </w:r>
      <w:r w:rsidRPr="00EA5F67">
        <w:rPr>
          <w:rFonts w:ascii="Arial" w:hAnsi="Arial" w:cs="Arial"/>
          <w:b/>
          <w:bCs/>
        </w:rPr>
        <w:t>:</w:t>
      </w:r>
      <w:r w:rsidRPr="00EA5F67">
        <w:rPr>
          <w:rFonts w:ascii="Arial" w:hAnsi="Arial" w:cs="Arial"/>
          <w:b/>
          <w:bCs/>
          <w:lang w:val="en-US"/>
        </w:rPr>
        <w:t xml:space="preserve"> </w:t>
      </w:r>
      <w:r w:rsidRPr="00EA5F67">
        <w:rPr>
          <w:rFonts w:ascii="Arial" w:hAnsi="Arial" w:cs="Arial"/>
          <w:color w:val="000000" w:themeColor="text1"/>
        </w:rPr>
        <w:t xml:space="preserve">Trace, ACF, and Density plots of covariance estimates from MCMC-based </w:t>
      </w:r>
      <w:r w:rsidRPr="00EA5F67">
        <w:rPr>
          <w:rFonts w:ascii="Arial" w:hAnsi="Arial" w:cs="Arial"/>
          <w:color w:val="000000" w:themeColor="text1"/>
          <w:lang w:val="en-US"/>
        </w:rPr>
        <w:t xml:space="preserve">Multi-level </w:t>
      </w:r>
      <w:r w:rsidRPr="00EA5F67">
        <w:rPr>
          <w:rFonts w:ascii="Arial" w:hAnsi="Arial" w:cs="Arial"/>
          <w:color w:val="000000" w:themeColor="text1"/>
        </w:rPr>
        <w:t>Bayesian logistic</w:t>
      </w:r>
      <w:r w:rsidRPr="00EA5F67">
        <w:rPr>
          <w:rFonts w:ascii="Arial" w:hAnsi="Arial" w:cs="Arial"/>
          <w:color w:val="000000" w:themeColor="text1"/>
          <w:lang w:val="en-US"/>
        </w:rPr>
        <w:t xml:space="preserve"> with weakly informative prior</w:t>
      </w:r>
      <w:r w:rsidRPr="00EA5F67">
        <w:rPr>
          <w:rFonts w:ascii="Arial" w:hAnsi="Arial" w:cs="Arial"/>
          <w:color w:val="000000" w:themeColor="text1"/>
        </w:rPr>
        <w:t>.</w:t>
      </w:r>
    </w:p>
    <w:p w:rsidR="00E16FB5" w:rsidRPr="00EA5F67" w:rsidRDefault="00E16FB5" w:rsidP="00E16FB5">
      <w:pPr>
        <w:spacing w:line="360" w:lineRule="auto"/>
        <w:rPr>
          <w:rFonts w:ascii="Arial" w:hAnsi="Arial" w:cs="Arial"/>
          <w:lang w:val="en-US"/>
        </w:rPr>
      </w:pPr>
    </w:p>
    <w:sectPr w:rsidR="00E16FB5" w:rsidRPr="00EA5F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604020202020204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8E7"/>
    <w:rsid w:val="00146950"/>
    <w:rsid w:val="002C740D"/>
    <w:rsid w:val="002F5203"/>
    <w:rsid w:val="003618E7"/>
    <w:rsid w:val="003E3004"/>
    <w:rsid w:val="00515E65"/>
    <w:rsid w:val="00725520"/>
    <w:rsid w:val="008E6A3D"/>
    <w:rsid w:val="00A86F95"/>
    <w:rsid w:val="00B14B81"/>
    <w:rsid w:val="00BF70E5"/>
    <w:rsid w:val="00E16FB5"/>
    <w:rsid w:val="00E42C70"/>
    <w:rsid w:val="00EA5F67"/>
    <w:rsid w:val="00F4231D"/>
    <w:rsid w:val="00F6136F"/>
    <w:rsid w:val="00F8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D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AEC049"/>
  <w15:chartTrackingRefBased/>
  <w15:docId w15:val="{ABBD3AD6-1324-CB4D-B229-07256AD4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BD" w:eastAsia="en-US" w:bidi="bn-I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84684"/>
    <w:rPr>
      <w:b/>
      <w:bCs/>
    </w:rPr>
  </w:style>
  <w:style w:type="table" w:styleId="TableGrid">
    <w:name w:val="Table Grid"/>
    <w:basedOn w:val="TableNormal"/>
    <w:uiPriority w:val="39"/>
    <w:rsid w:val="003E300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A5F6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EA5F6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7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11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Antu Kumar</dc:creator>
  <cp:keywords/>
  <dc:description/>
  <cp:lastModifiedBy>Antu Kumar</cp:lastModifiedBy>
  <cp:revision>21</cp:revision>
  <dcterms:created xsi:type="dcterms:W3CDTF">2025-08-24T18:22:00Z</dcterms:created>
  <dcterms:modified xsi:type="dcterms:W3CDTF">2026-08-08T07:04:00Z</dcterms:modified>
</cp:coreProperties>
</file>