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BA737" w14:textId="1BB7E41C" w:rsidR="000066D3" w:rsidRPr="000066D3" w:rsidRDefault="000066D3" w:rsidP="000066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6D3">
        <w:rPr>
          <w:rFonts w:ascii="Times New Roman" w:hAnsi="Times New Roman" w:cs="Times New Roman"/>
          <w:b/>
          <w:bCs/>
          <w:sz w:val="24"/>
          <w:szCs w:val="24"/>
        </w:rPr>
        <w:t>Supplementary File 1</w:t>
      </w:r>
    </w:p>
    <w:p w14:paraId="28DCEBA1" w14:textId="77777777" w:rsidR="002371B5" w:rsidRPr="000066D3" w:rsidRDefault="00C457FC">
      <w:pPr>
        <w:jc w:val="center"/>
        <w:rPr>
          <w:rFonts w:ascii="Times New Roman" w:hAnsi="Times New Roman" w:cs="Times New Roman"/>
          <w:sz w:val="24"/>
          <w:szCs w:val="24"/>
        </w:rPr>
      </w:pPr>
      <w:r w:rsidRPr="000066D3">
        <w:rPr>
          <w:rFonts w:ascii="Times New Roman" w:hAnsi="Times New Roman" w:cs="Times New Roman"/>
          <w:i/>
          <w:sz w:val="24"/>
          <w:szCs w:val="24"/>
        </w:rPr>
        <w:t>Completed CREDES checklist for the modified Delphi study</w:t>
      </w:r>
    </w:p>
    <w:p w14:paraId="3E485296" w14:textId="77777777" w:rsidR="002371B5" w:rsidRPr="000066D3" w:rsidRDefault="00C457FC">
      <w:pPr>
        <w:rPr>
          <w:rFonts w:ascii="Times New Roman" w:hAnsi="Times New Roman" w:cs="Times New Roman"/>
          <w:sz w:val="24"/>
          <w:szCs w:val="24"/>
        </w:rPr>
      </w:pPr>
      <w:r w:rsidRPr="000066D3">
        <w:rPr>
          <w:rFonts w:ascii="Times New Roman" w:hAnsi="Times New Roman" w:cs="Times New Roman"/>
          <w:sz w:val="24"/>
          <w:szCs w:val="24"/>
        </w:rPr>
        <w:t>Manuscript title: A modified Delphi study of expert consensus on mental health service access and digital strategies for adolescents and young people living with HIV in Zambia</w:t>
      </w:r>
    </w:p>
    <w:p w14:paraId="779508D3" w14:textId="77777777" w:rsidR="002371B5" w:rsidRPr="000066D3" w:rsidRDefault="00C457FC">
      <w:pPr>
        <w:rPr>
          <w:rFonts w:ascii="Times New Roman" w:hAnsi="Times New Roman" w:cs="Times New Roman"/>
          <w:sz w:val="24"/>
          <w:szCs w:val="24"/>
        </w:rPr>
      </w:pPr>
      <w:r w:rsidRPr="000066D3">
        <w:rPr>
          <w:rFonts w:ascii="Times New Roman" w:hAnsi="Times New Roman" w:cs="Times New Roman"/>
          <w:sz w:val="24"/>
          <w:szCs w:val="24"/>
        </w:rPr>
        <w:t>Checklist basis: Conducting and Reporting Delphi Studies (CREDES) guidance. This checklist is completed to support transparent reporting of the modified Delphi process.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1710"/>
        <w:gridCol w:w="1800"/>
        <w:gridCol w:w="2160"/>
        <w:gridCol w:w="4842"/>
      </w:tblGrid>
      <w:tr w:rsidR="002371B5" w:rsidRPr="000066D3" w14:paraId="20228392" w14:textId="77777777" w:rsidTr="007363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2B8079AB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CREDES reporting item</w:t>
            </w:r>
          </w:p>
        </w:tc>
        <w:tc>
          <w:tcPr>
            <w:tcW w:w="1800" w:type="dxa"/>
          </w:tcPr>
          <w:p w14:paraId="7AC86810" w14:textId="77777777" w:rsidR="002371B5" w:rsidRPr="000066D3" w:rsidRDefault="00C457FC" w:rsidP="00CA75FB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Recommended information</w:t>
            </w:r>
          </w:p>
        </w:tc>
        <w:tc>
          <w:tcPr>
            <w:tcW w:w="2160" w:type="dxa"/>
          </w:tcPr>
          <w:p w14:paraId="754D30EF" w14:textId="77777777" w:rsidR="002371B5" w:rsidRPr="000066D3" w:rsidRDefault="00C457FC" w:rsidP="00CA75FB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Where addressed in manuscript</w:t>
            </w:r>
          </w:p>
        </w:tc>
        <w:tc>
          <w:tcPr>
            <w:tcW w:w="4842" w:type="dxa"/>
          </w:tcPr>
          <w:p w14:paraId="2D5B3C3C" w14:textId="77777777" w:rsidR="002371B5" w:rsidRPr="000066D3" w:rsidRDefault="00C457FC" w:rsidP="00CA75FB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How addressed in this study</w:t>
            </w:r>
          </w:p>
        </w:tc>
      </w:tr>
      <w:tr w:rsidR="002371B5" w:rsidRPr="000066D3" w14:paraId="1E6B4AF4" w14:textId="77777777" w:rsidTr="0073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</w:tcPr>
          <w:p w14:paraId="671E2D3C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1. Rationale for using Delphi</w:t>
            </w:r>
          </w:p>
        </w:tc>
        <w:tc>
          <w:tcPr>
            <w:tcW w:w="1800" w:type="dxa"/>
            <w:shd w:val="clear" w:color="auto" w:fill="auto"/>
          </w:tcPr>
          <w:p w14:paraId="0BBA55A7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 xml:space="preserve">Explain why </w:t>
            </w:r>
            <w:proofErr w:type="gramStart"/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a Delphi</w:t>
            </w:r>
            <w:proofErr w:type="gramEnd"/>
            <w:r w:rsidRPr="000066D3">
              <w:rPr>
                <w:rFonts w:ascii="Times New Roman" w:hAnsi="Times New Roman" w:cs="Times New Roman"/>
                <w:sz w:val="24"/>
                <w:szCs w:val="24"/>
              </w:rPr>
              <w:t xml:space="preserve"> approach was appropriate for the research question.</w:t>
            </w:r>
          </w:p>
        </w:tc>
        <w:tc>
          <w:tcPr>
            <w:tcW w:w="2160" w:type="dxa"/>
            <w:shd w:val="clear" w:color="auto" w:fill="auto"/>
          </w:tcPr>
          <w:p w14:paraId="0674AF01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Introduction; Methods: Study design</w:t>
            </w:r>
          </w:p>
        </w:tc>
        <w:tc>
          <w:tcPr>
            <w:tcW w:w="4842" w:type="dxa"/>
            <w:shd w:val="clear" w:color="auto" w:fill="auto"/>
          </w:tcPr>
          <w:p w14:paraId="456A69D8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The revised manuscript explains that local implementation evidence is limited and that structured expert prioritisation was needed across mental health, HIV programme, policy, and digital health perspectives.</w:t>
            </w:r>
          </w:p>
        </w:tc>
      </w:tr>
      <w:tr w:rsidR="002371B5" w:rsidRPr="000066D3" w14:paraId="101B5311" w14:textId="77777777" w:rsidTr="007363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1527310F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2. Aim of the Delphi study</w:t>
            </w:r>
          </w:p>
        </w:tc>
        <w:tc>
          <w:tcPr>
            <w:tcW w:w="1800" w:type="dxa"/>
          </w:tcPr>
          <w:p w14:paraId="1B91CBB1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State the aim or research question clearly.</w:t>
            </w:r>
          </w:p>
        </w:tc>
        <w:tc>
          <w:tcPr>
            <w:tcW w:w="2160" w:type="dxa"/>
          </w:tcPr>
          <w:p w14:paraId="43400477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End of Introduction; Abstract</w:t>
            </w:r>
          </w:p>
        </w:tc>
        <w:tc>
          <w:tcPr>
            <w:tcW w:w="4842" w:type="dxa"/>
          </w:tcPr>
          <w:p w14:paraId="09F827CB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The study aim is stated as identifying expert consensus on barriers, facilitators, and digital strategies for improving mental-health service access among AYPLHIV in Zambia.</w:t>
            </w:r>
          </w:p>
        </w:tc>
      </w:tr>
      <w:tr w:rsidR="002371B5" w:rsidRPr="000066D3" w14:paraId="1F77B6E7" w14:textId="77777777" w:rsidTr="0073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</w:tcPr>
          <w:p w14:paraId="034E6F1F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3. Type of Delphi and design</w:t>
            </w:r>
          </w:p>
        </w:tc>
        <w:tc>
          <w:tcPr>
            <w:tcW w:w="1800" w:type="dxa"/>
            <w:shd w:val="clear" w:color="auto" w:fill="auto"/>
          </w:tcPr>
          <w:p w14:paraId="7309B7B9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Describe the Delphi type and number of rounds.</w:t>
            </w:r>
          </w:p>
        </w:tc>
        <w:tc>
          <w:tcPr>
            <w:tcW w:w="2160" w:type="dxa"/>
            <w:shd w:val="clear" w:color="auto" w:fill="auto"/>
          </w:tcPr>
          <w:p w14:paraId="56DA2EA4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Methods: Study design</w:t>
            </w:r>
          </w:p>
        </w:tc>
        <w:tc>
          <w:tcPr>
            <w:tcW w:w="4842" w:type="dxa"/>
            <w:shd w:val="clear" w:color="auto" w:fill="auto"/>
          </w:tcPr>
          <w:p w14:paraId="0B3C32DB" w14:textId="77777777" w:rsidR="00AD36B1" w:rsidRPr="000066D3" w:rsidRDefault="00000000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The revised manuscript describes the study as a modified two-round Delphi study with qualitative item generation in Round 1 and structured rating in Round 2. The two-round design and no-</w:t>
            </w:r>
            <w:proofErr w:type="gramStart"/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third-round</w:t>
            </w:r>
            <w:proofErr w:type="gramEnd"/>
            <w:r w:rsidRPr="000066D3">
              <w:rPr>
                <w:rFonts w:ascii="Times New Roman" w:hAnsi="Times New Roman" w:cs="Times New Roman"/>
                <w:sz w:val="24"/>
                <w:szCs w:val="24"/>
              </w:rPr>
              <w:t xml:space="preserve"> stopping rule are stated as part of the modified design.</w:t>
            </w:r>
          </w:p>
        </w:tc>
      </w:tr>
      <w:tr w:rsidR="002371B5" w:rsidRPr="000066D3" w14:paraId="56C30D83" w14:textId="77777777" w:rsidTr="007363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4EB0905D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4. Expert panel selection</w:t>
            </w:r>
          </w:p>
        </w:tc>
        <w:tc>
          <w:tcPr>
            <w:tcW w:w="1800" w:type="dxa"/>
          </w:tcPr>
          <w:p w14:paraId="669F0E75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Describe criteria for selecting experts and panel composition.</w:t>
            </w:r>
          </w:p>
        </w:tc>
        <w:tc>
          <w:tcPr>
            <w:tcW w:w="2160" w:type="dxa"/>
          </w:tcPr>
          <w:p w14:paraId="7EFA9410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Methods: Participants and sampling; Table 1</w:t>
            </w:r>
          </w:p>
        </w:tc>
        <w:tc>
          <w:tcPr>
            <w:tcW w:w="4842" w:type="dxa"/>
          </w:tcPr>
          <w:p w14:paraId="6E0F29CA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Experts were purposively identified through mental health, HIV, public health, and digital health networks. Twelve experts were approached; ten enrolled and completed both rounds.</w:t>
            </w:r>
          </w:p>
        </w:tc>
      </w:tr>
      <w:tr w:rsidR="002371B5" w:rsidRPr="000066D3" w14:paraId="56E7F98A" w14:textId="77777777" w:rsidTr="0073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</w:tcPr>
          <w:p w14:paraId="13EA406C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5. Expert recruitment and response rates</w:t>
            </w:r>
          </w:p>
        </w:tc>
        <w:tc>
          <w:tcPr>
            <w:tcW w:w="1800" w:type="dxa"/>
            <w:shd w:val="clear" w:color="auto" w:fill="auto"/>
          </w:tcPr>
          <w:p w14:paraId="1CB61CF1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Report invitations, participation, drop-out, and retention.</w:t>
            </w:r>
          </w:p>
        </w:tc>
        <w:tc>
          <w:tcPr>
            <w:tcW w:w="2160" w:type="dxa"/>
            <w:shd w:val="clear" w:color="auto" w:fill="auto"/>
          </w:tcPr>
          <w:p w14:paraId="11811BC0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Methods: Participants and sampling; Figure 1</w:t>
            </w:r>
          </w:p>
        </w:tc>
        <w:tc>
          <w:tcPr>
            <w:tcW w:w="4842" w:type="dxa"/>
            <w:shd w:val="clear" w:color="auto" w:fill="auto"/>
          </w:tcPr>
          <w:p w14:paraId="21125232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Twelve experts were approached, two did not respond, ten completed Round 1, and all ten completed Round 2, giving 83.3% enrolment and 100% retention after enrolment.</w:t>
            </w:r>
          </w:p>
        </w:tc>
      </w:tr>
      <w:tr w:rsidR="002371B5" w:rsidRPr="000066D3" w14:paraId="71350A73" w14:textId="77777777" w:rsidTr="007363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1C5D17E0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6. Anonymity and bias reduction</w:t>
            </w:r>
          </w:p>
        </w:tc>
        <w:tc>
          <w:tcPr>
            <w:tcW w:w="1800" w:type="dxa"/>
          </w:tcPr>
          <w:p w14:paraId="3A699FB4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Explain how dominance effects and professional hierarchy were reduced.</w:t>
            </w:r>
          </w:p>
        </w:tc>
        <w:tc>
          <w:tcPr>
            <w:tcW w:w="2160" w:type="dxa"/>
          </w:tcPr>
          <w:p w14:paraId="01208021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Methods: Delphi process and anonymity</w:t>
            </w:r>
          </w:p>
        </w:tc>
        <w:tc>
          <w:tcPr>
            <w:tcW w:w="4842" w:type="dxa"/>
          </w:tcPr>
          <w:p w14:paraId="56E02D41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Experts completed both rounds independently. Individual responses and ratings were not shared with other panel members; aggregate Round 1 feedback was shared before Round 2.</w:t>
            </w:r>
          </w:p>
        </w:tc>
      </w:tr>
      <w:tr w:rsidR="002371B5" w:rsidRPr="000066D3" w14:paraId="0E278889" w14:textId="77777777" w:rsidTr="0073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</w:tcPr>
          <w:p w14:paraId="1ADEE267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 Informational input and questionnaire development</w:t>
            </w:r>
          </w:p>
        </w:tc>
        <w:tc>
          <w:tcPr>
            <w:tcW w:w="1800" w:type="dxa"/>
            <w:shd w:val="clear" w:color="auto" w:fill="auto"/>
          </w:tcPr>
          <w:p w14:paraId="73A0505F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Describe how questions and materials were developed.</w:t>
            </w:r>
          </w:p>
        </w:tc>
        <w:tc>
          <w:tcPr>
            <w:tcW w:w="2160" w:type="dxa"/>
            <w:shd w:val="clear" w:color="auto" w:fill="auto"/>
          </w:tcPr>
          <w:p w14:paraId="68384D3D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Methods: Round 1 questionnaire development; Supplementary File 2</w:t>
            </w:r>
          </w:p>
        </w:tc>
        <w:tc>
          <w:tcPr>
            <w:tcW w:w="4842" w:type="dxa"/>
            <w:shd w:val="clear" w:color="auto" w:fill="auto"/>
          </w:tcPr>
          <w:p w14:paraId="52F7F965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The Round 1 questionnaire was developed from the approved protocol, literature, and study objectives and covered barriers, facilitators, digital design, privacy, culture, and private-sector engagement.</w:t>
            </w:r>
          </w:p>
        </w:tc>
      </w:tr>
      <w:tr w:rsidR="002371B5" w:rsidRPr="000066D3" w14:paraId="74522C2F" w14:textId="77777777" w:rsidTr="007363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1DADB861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8. Piloting or pre-testing</w:t>
            </w:r>
          </w:p>
        </w:tc>
        <w:tc>
          <w:tcPr>
            <w:tcW w:w="1800" w:type="dxa"/>
          </w:tcPr>
          <w:p w14:paraId="2C871517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State whether survey instruments were piloted or reviewed.</w:t>
            </w:r>
          </w:p>
        </w:tc>
        <w:tc>
          <w:tcPr>
            <w:tcW w:w="2160" w:type="dxa"/>
          </w:tcPr>
          <w:p w14:paraId="5540E181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Methods: Round 1 questionnaire development</w:t>
            </w:r>
          </w:p>
        </w:tc>
        <w:tc>
          <w:tcPr>
            <w:tcW w:w="4842" w:type="dxa"/>
          </w:tcPr>
          <w:p w14:paraId="3517FD03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The Round 1 questionnaire was piloted with three experts who were not part of the Delphi panel. Feedback was used to refine clarity and flow before data collection.</w:t>
            </w:r>
          </w:p>
        </w:tc>
      </w:tr>
      <w:tr w:rsidR="002371B5" w:rsidRPr="000066D3" w14:paraId="3EE8B081" w14:textId="77777777" w:rsidTr="0073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</w:tcPr>
          <w:p w14:paraId="0F760DF3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9. Round 1 analysis and item generation</w:t>
            </w:r>
          </w:p>
        </w:tc>
        <w:tc>
          <w:tcPr>
            <w:tcW w:w="1800" w:type="dxa"/>
            <w:shd w:val="clear" w:color="auto" w:fill="auto"/>
          </w:tcPr>
          <w:p w14:paraId="3F01D4F5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Describe how qualitative responses were coded and transformed into statements.</w:t>
            </w:r>
          </w:p>
        </w:tc>
        <w:tc>
          <w:tcPr>
            <w:tcW w:w="2160" w:type="dxa"/>
            <w:shd w:val="clear" w:color="auto" w:fill="auto"/>
          </w:tcPr>
          <w:p w14:paraId="44537EE4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Methods: Round 1 analysis</w:t>
            </w:r>
          </w:p>
        </w:tc>
        <w:tc>
          <w:tcPr>
            <w:tcW w:w="4842" w:type="dxa"/>
            <w:shd w:val="clear" w:color="auto" w:fill="auto"/>
          </w:tcPr>
          <w:p w14:paraId="5237BA08" w14:textId="77777777" w:rsidR="00AD36B1" w:rsidRPr="000066D3" w:rsidRDefault="00000000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 xml:space="preserve">Round 1 </w:t>
            </w:r>
            <w:proofErr w:type="gramStart"/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responses</w:t>
            </w:r>
            <w:proofErr w:type="gramEnd"/>
            <w:r w:rsidRPr="000066D3">
              <w:rPr>
                <w:rFonts w:ascii="Times New Roman" w:hAnsi="Times New Roman" w:cs="Times New Roman"/>
                <w:sz w:val="24"/>
                <w:szCs w:val="24"/>
              </w:rPr>
              <w:t xml:space="preserve"> were coded in LiGRE 6.5.1 by CM and reviewed by all co-authors. Codes were grouped into themes and converted into 29 single-concept statements. Supplementary File 5 provides a theme-to-statement generation matrix to support traceability.</w:t>
            </w:r>
          </w:p>
        </w:tc>
      </w:tr>
      <w:tr w:rsidR="002371B5" w:rsidRPr="000066D3" w14:paraId="3755F470" w14:textId="77777777" w:rsidTr="007363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7FC81868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10. Feedback between rounds</w:t>
            </w:r>
          </w:p>
        </w:tc>
        <w:tc>
          <w:tcPr>
            <w:tcW w:w="1800" w:type="dxa"/>
          </w:tcPr>
          <w:p w14:paraId="3A5D3BED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proofErr w:type="gramEnd"/>
            <w:r w:rsidRPr="000066D3">
              <w:rPr>
                <w:rFonts w:ascii="Times New Roman" w:hAnsi="Times New Roman" w:cs="Times New Roman"/>
                <w:sz w:val="24"/>
                <w:szCs w:val="24"/>
              </w:rPr>
              <w:t xml:space="preserve"> what feedback participants received between rounds.</w:t>
            </w:r>
          </w:p>
        </w:tc>
        <w:tc>
          <w:tcPr>
            <w:tcW w:w="2160" w:type="dxa"/>
          </w:tcPr>
          <w:p w14:paraId="25D0CD8A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Methods: Feedback between rounds</w:t>
            </w:r>
          </w:p>
        </w:tc>
        <w:tc>
          <w:tcPr>
            <w:tcW w:w="4842" w:type="dxa"/>
          </w:tcPr>
          <w:p w14:paraId="5669E3D3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Aggregate Round 1 feedback was shared with all ten participants in anonymised form and informed the Round 2 rating questionnaire.</w:t>
            </w:r>
          </w:p>
        </w:tc>
      </w:tr>
      <w:tr w:rsidR="002371B5" w:rsidRPr="000066D3" w14:paraId="1212DE5F" w14:textId="77777777" w:rsidTr="0073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</w:tcPr>
          <w:p w14:paraId="778F3DE8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11. Rating procedure</w:t>
            </w:r>
          </w:p>
        </w:tc>
        <w:tc>
          <w:tcPr>
            <w:tcW w:w="1800" w:type="dxa"/>
            <w:shd w:val="clear" w:color="auto" w:fill="auto"/>
          </w:tcPr>
          <w:p w14:paraId="4D46E996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Describe scale, response options, and rating method.</w:t>
            </w:r>
          </w:p>
        </w:tc>
        <w:tc>
          <w:tcPr>
            <w:tcW w:w="2160" w:type="dxa"/>
            <w:shd w:val="clear" w:color="auto" w:fill="auto"/>
          </w:tcPr>
          <w:p w14:paraId="347C0685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Methods: Round 2 consensus rating; Supplementary File 3</w:t>
            </w:r>
          </w:p>
        </w:tc>
        <w:tc>
          <w:tcPr>
            <w:tcW w:w="4842" w:type="dxa"/>
            <w:shd w:val="clear" w:color="auto" w:fill="auto"/>
          </w:tcPr>
          <w:p w14:paraId="1512ECCB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Round 2 used a self-administered five-point Likert scale from strongly disagree to strongly agree for all 29 statements.</w:t>
            </w:r>
          </w:p>
        </w:tc>
      </w:tr>
      <w:tr w:rsidR="002371B5" w:rsidRPr="000066D3" w14:paraId="3A9A28BC" w14:textId="77777777" w:rsidTr="007363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78E9A5F2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12. Consensus definition</w:t>
            </w:r>
          </w:p>
        </w:tc>
        <w:tc>
          <w:tcPr>
            <w:tcW w:w="1800" w:type="dxa"/>
          </w:tcPr>
          <w:p w14:paraId="36902109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Define consensus a priori and justify the threshold.</w:t>
            </w:r>
          </w:p>
        </w:tc>
        <w:tc>
          <w:tcPr>
            <w:tcW w:w="2160" w:type="dxa"/>
          </w:tcPr>
          <w:p w14:paraId="5250344E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Methods: Round 2 consensus rating</w:t>
            </w:r>
          </w:p>
        </w:tc>
        <w:tc>
          <w:tcPr>
            <w:tcW w:w="4842" w:type="dxa"/>
          </w:tcPr>
          <w:p w14:paraId="69F36C99" w14:textId="77777777" w:rsidR="00AD36B1" w:rsidRPr="000066D3" w:rsidRDefault="00000000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Consensus was defined a priori as at least 70% agreement and IQR &lt;= 1. Agreement was calculated as the number of experts rating 4 or 5 divided by all 10 respondents. The manuscript uses the classification ‘met prespecified criterion’ to avoid implying unanimity.</w:t>
            </w:r>
          </w:p>
        </w:tc>
      </w:tr>
      <w:tr w:rsidR="002371B5" w:rsidRPr="000066D3" w14:paraId="4ECA9765" w14:textId="77777777" w:rsidTr="0073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</w:tcPr>
          <w:p w14:paraId="47199780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13. Stopping rule</w:t>
            </w:r>
          </w:p>
        </w:tc>
        <w:tc>
          <w:tcPr>
            <w:tcW w:w="1800" w:type="dxa"/>
            <w:shd w:val="clear" w:color="auto" w:fill="auto"/>
          </w:tcPr>
          <w:p w14:paraId="3BD5F639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State the reason for stopping the Delphi process.</w:t>
            </w:r>
          </w:p>
        </w:tc>
        <w:tc>
          <w:tcPr>
            <w:tcW w:w="2160" w:type="dxa"/>
            <w:shd w:val="clear" w:color="auto" w:fill="auto"/>
          </w:tcPr>
          <w:p w14:paraId="1A53B1B1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Methods: Stopping rule; Discussion limitations</w:t>
            </w:r>
          </w:p>
        </w:tc>
        <w:tc>
          <w:tcPr>
            <w:tcW w:w="4842" w:type="dxa"/>
            <w:shd w:val="clear" w:color="auto" w:fill="auto"/>
          </w:tcPr>
          <w:p w14:paraId="17D483A2" w14:textId="77777777" w:rsidR="00AD36B1" w:rsidRPr="000066D3" w:rsidRDefault="00000000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The study was implemented as a modified two-round Delphi. No third rating round was undertaken; the limitation that stability after additional feedback was not assessed is discussed in the manuscript.</w:t>
            </w:r>
          </w:p>
        </w:tc>
      </w:tr>
      <w:tr w:rsidR="002371B5" w:rsidRPr="000066D3" w14:paraId="15115B32" w14:textId="77777777" w:rsidTr="007363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4D1EEAB6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14. Results reporting</w:t>
            </w:r>
          </w:p>
        </w:tc>
        <w:tc>
          <w:tcPr>
            <w:tcW w:w="1800" w:type="dxa"/>
          </w:tcPr>
          <w:p w14:paraId="361F2CF9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Report item-level results transparently.</w:t>
            </w:r>
          </w:p>
        </w:tc>
        <w:tc>
          <w:tcPr>
            <w:tcW w:w="2160" w:type="dxa"/>
          </w:tcPr>
          <w:p w14:paraId="650D12AA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Results; Supplementary File 4</w:t>
            </w:r>
          </w:p>
        </w:tc>
        <w:tc>
          <w:tcPr>
            <w:tcW w:w="4842" w:type="dxa"/>
          </w:tcPr>
          <w:p w14:paraId="4191E52A" w14:textId="77777777" w:rsidR="00AD36B1" w:rsidRPr="000066D3" w:rsidRDefault="00000000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The revised manuscript includes all 29 statements with median, IQR, percentage agreement, and classification. Supplementary File 4 provides aggregate item-level results; de-identified individual-level ratings may be available on request subject to ethics and data-governance requirements.</w:t>
            </w:r>
          </w:p>
        </w:tc>
      </w:tr>
      <w:tr w:rsidR="002371B5" w:rsidRPr="000066D3" w14:paraId="32CACBCA" w14:textId="77777777" w:rsidTr="00736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auto"/>
          </w:tcPr>
          <w:p w14:paraId="55E445F5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 Limitations and interpretation</w:t>
            </w:r>
          </w:p>
        </w:tc>
        <w:tc>
          <w:tcPr>
            <w:tcW w:w="1800" w:type="dxa"/>
            <w:shd w:val="clear" w:color="auto" w:fill="auto"/>
          </w:tcPr>
          <w:p w14:paraId="315CBC12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Discuss uncertainty, attrition, bias, and limits of consensus.</w:t>
            </w:r>
          </w:p>
        </w:tc>
        <w:tc>
          <w:tcPr>
            <w:tcW w:w="2160" w:type="dxa"/>
            <w:shd w:val="clear" w:color="auto" w:fill="auto"/>
          </w:tcPr>
          <w:p w14:paraId="4DA7BFE0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Discussion: Strengths and limitations</w:t>
            </w:r>
          </w:p>
        </w:tc>
        <w:tc>
          <w:tcPr>
            <w:tcW w:w="4842" w:type="dxa"/>
            <w:shd w:val="clear" w:color="auto" w:fill="auto"/>
          </w:tcPr>
          <w:p w14:paraId="3778DD33" w14:textId="77777777" w:rsidR="002371B5" w:rsidRPr="000066D3" w:rsidRDefault="00C457FC" w:rsidP="00CA75FB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The manuscript now discusses small panel size, purposive/snowball sampling, no direct AYPLHIV participation in the Delphi panel, no third round, and the fact that consensus does not prove feasibility or effectiveness.</w:t>
            </w:r>
          </w:p>
        </w:tc>
      </w:tr>
      <w:tr w:rsidR="002371B5" w:rsidRPr="000066D3" w14:paraId="5CF7DA61" w14:textId="77777777" w:rsidTr="007363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28F8CB31" w14:textId="77777777" w:rsidR="002371B5" w:rsidRPr="000066D3" w:rsidRDefault="00C457FC" w:rsidP="00CA75FB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16. External validation and next steps</w:t>
            </w:r>
          </w:p>
        </w:tc>
        <w:tc>
          <w:tcPr>
            <w:tcW w:w="1800" w:type="dxa"/>
          </w:tcPr>
          <w:p w14:paraId="6B97E33A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Describe validation or recommended next steps.</w:t>
            </w:r>
          </w:p>
        </w:tc>
        <w:tc>
          <w:tcPr>
            <w:tcW w:w="2160" w:type="dxa"/>
          </w:tcPr>
          <w:p w14:paraId="3CF50C66" w14:textId="77777777" w:rsidR="002371B5" w:rsidRPr="000066D3" w:rsidRDefault="00C457FC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Discussion: Next steps</w:t>
            </w:r>
          </w:p>
        </w:tc>
        <w:tc>
          <w:tcPr>
            <w:tcW w:w="4842" w:type="dxa"/>
          </w:tcPr>
          <w:p w14:paraId="1FE9874A" w14:textId="77777777" w:rsidR="00AD36B1" w:rsidRPr="000066D3" w:rsidRDefault="00000000" w:rsidP="00CA75FB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66D3">
              <w:rPr>
                <w:rFonts w:ascii="Times New Roman" w:hAnsi="Times New Roman" w:cs="Times New Roman"/>
                <w:sz w:val="24"/>
                <w:szCs w:val="24"/>
              </w:rPr>
              <w:t>The revised manuscript recommends validation with AYPLHIV, caregivers, frontline ART providers, peer supporters, community actors, policymakers, and implementers before implementation or scale-up.</w:t>
            </w:r>
          </w:p>
        </w:tc>
      </w:tr>
    </w:tbl>
    <w:p w14:paraId="2B81936E" w14:textId="77777777" w:rsidR="002371B5" w:rsidRPr="000066D3" w:rsidRDefault="00C457FC">
      <w:pPr>
        <w:rPr>
          <w:rFonts w:ascii="Times New Roman" w:hAnsi="Times New Roman" w:cs="Times New Roman"/>
          <w:sz w:val="24"/>
          <w:szCs w:val="24"/>
        </w:rPr>
      </w:pPr>
      <w:r w:rsidRPr="000066D3">
        <w:rPr>
          <w:rFonts w:ascii="Times New Roman" w:hAnsi="Times New Roman" w:cs="Times New Roman"/>
          <w:sz w:val="24"/>
          <w:szCs w:val="24"/>
        </w:rPr>
        <w:t>Reference: Junger S, Payne SA, Brine J, Radbruch L, Brearley SG. Guidance on Conducting and REporting DElphi Studies (CREDES) in palliative care: recommendations based on a methodological systematic review. Palliat Med. 2017;31(8):684-706.</w:t>
      </w:r>
    </w:p>
    <w:sectPr w:rsidR="002371B5" w:rsidRPr="000066D3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1593209">
    <w:abstractNumId w:val="8"/>
  </w:num>
  <w:num w:numId="2" w16cid:durableId="492917642">
    <w:abstractNumId w:val="6"/>
  </w:num>
  <w:num w:numId="3" w16cid:durableId="1376084682">
    <w:abstractNumId w:val="5"/>
  </w:num>
  <w:num w:numId="4" w16cid:durableId="1615020495">
    <w:abstractNumId w:val="4"/>
  </w:num>
  <w:num w:numId="5" w16cid:durableId="852453966">
    <w:abstractNumId w:val="7"/>
  </w:num>
  <w:num w:numId="6" w16cid:durableId="1011906546">
    <w:abstractNumId w:val="3"/>
  </w:num>
  <w:num w:numId="7" w16cid:durableId="2126078567">
    <w:abstractNumId w:val="2"/>
  </w:num>
  <w:num w:numId="8" w16cid:durableId="1004357946">
    <w:abstractNumId w:val="1"/>
  </w:num>
  <w:num w:numId="9" w16cid:durableId="200523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6D3"/>
    <w:rsid w:val="00034616"/>
    <w:rsid w:val="0006063C"/>
    <w:rsid w:val="00123CF0"/>
    <w:rsid w:val="001343DA"/>
    <w:rsid w:val="0015074B"/>
    <w:rsid w:val="002371B5"/>
    <w:rsid w:val="0029639D"/>
    <w:rsid w:val="00326F90"/>
    <w:rsid w:val="005963DC"/>
    <w:rsid w:val="00664DFE"/>
    <w:rsid w:val="007363FC"/>
    <w:rsid w:val="00A606B3"/>
    <w:rsid w:val="00AA1D8D"/>
    <w:rsid w:val="00AD36B1"/>
    <w:rsid w:val="00B47730"/>
    <w:rsid w:val="00C457FC"/>
    <w:rsid w:val="00CA75FB"/>
    <w:rsid w:val="00CB0664"/>
    <w:rsid w:val="00CC51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C78DE8"/>
  <w14:defaultImageDpi w14:val="300"/>
  <w15:docId w15:val="{89579F14-1A59-4096-9731-8840405A3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Table6Colorful">
    <w:name w:val="List Table 6 Colorful"/>
    <w:basedOn w:val="TableNormal"/>
    <w:uiPriority w:val="51"/>
    <w:rsid w:val="007363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836</Words>
  <Characters>5149</Characters>
  <Application>Microsoft Office Word</Application>
  <DocSecurity>0</DocSecurity>
  <Lines>261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Muleya, Carlos (CDC/GHC/DGHT)</cp:lastModifiedBy>
  <cp:revision>3</cp:revision>
  <dcterms:created xsi:type="dcterms:W3CDTF">2026-09-04T16:45:00Z</dcterms:created>
  <dcterms:modified xsi:type="dcterms:W3CDTF">2026-09-05T15:35:00Z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2026-08-31T14:44:36Z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ee5835f0-ad6d-4ec0-928d-9f1dfd2b2f91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</Properties>
</file>