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23635" w14:textId="77777777" w:rsidR="00636F7F" w:rsidRPr="00C766A5" w:rsidRDefault="00462036" w:rsidP="00C766A5">
      <w:pPr>
        <w:pStyle w:val="Heading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66A5">
        <w:rPr>
          <w:rFonts w:ascii="Times New Roman" w:hAnsi="Times New Roman" w:cs="Times New Roman"/>
          <w:color w:val="000000" w:themeColor="text1"/>
          <w:sz w:val="24"/>
          <w:szCs w:val="24"/>
        </w:rPr>
        <w:t>Supplementary File 5</w:t>
      </w:r>
    </w:p>
    <w:p w14:paraId="0C0638D8" w14:textId="77777777" w:rsidR="00636F7F" w:rsidRPr="00C766A5" w:rsidRDefault="00462036" w:rsidP="00C766A5">
      <w:pPr>
        <w:jc w:val="center"/>
        <w:rPr>
          <w:rFonts w:cs="Times New Roman"/>
          <w:i/>
          <w:iCs/>
          <w:color w:val="000000" w:themeColor="text1"/>
          <w:sz w:val="24"/>
          <w:szCs w:val="24"/>
        </w:rPr>
      </w:pPr>
      <w:r w:rsidRPr="00C766A5">
        <w:rPr>
          <w:rFonts w:cs="Times New Roman"/>
          <w:i/>
          <w:iCs/>
          <w:color w:val="000000" w:themeColor="text1"/>
          <w:sz w:val="24"/>
          <w:szCs w:val="24"/>
        </w:rPr>
        <w:t>Round 1 theme-to-Round 2 statement-generation matrix</w:t>
      </w:r>
    </w:p>
    <w:p w14:paraId="65BF62AD" w14:textId="77777777" w:rsidR="00636F7F" w:rsidRPr="00C766A5" w:rsidRDefault="00462036">
      <w:pPr>
        <w:rPr>
          <w:rFonts w:cs="Times New Roman"/>
          <w:sz w:val="24"/>
          <w:szCs w:val="24"/>
        </w:rPr>
      </w:pPr>
      <w:r w:rsidRPr="00C766A5">
        <w:rPr>
          <w:rFonts w:cs="Times New Roman"/>
          <w:sz w:val="24"/>
          <w:szCs w:val="24"/>
        </w:rPr>
        <w:t xml:space="preserve">This supplementary matrix documents how open-ended Round 1 themes were transformed into the 29 candidate statements rated in Round 2. It is intended to improve transparency and traceability of the modified Delphi process. Round 1 </w:t>
      </w:r>
      <w:proofErr w:type="gramStart"/>
      <w:r w:rsidRPr="00C766A5">
        <w:rPr>
          <w:rFonts w:cs="Times New Roman"/>
          <w:sz w:val="24"/>
          <w:szCs w:val="24"/>
        </w:rPr>
        <w:t>themes</w:t>
      </w:r>
      <w:proofErr w:type="gramEnd"/>
      <w:r w:rsidRPr="00C766A5">
        <w:rPr>
          <w:rFonts w:cs="Times New Roman"/>
          <w:sz w:val="24"/>
          <w:szCs w:val="24"/>
        </w:rPr>
        <w:t xml:space="preserve"> that informed design interpretation but were not rated as separate Round 2 items, such as referral-navigation challenges and harmful gender norms, should be interpreted as qualitative implementation themes rather than Round 2 consensus findings.</w:t>
      </w:r>
    </w:p>
    <w:p w14:paraId="7A396721" w14:textId="77777777" w:rsidR="00636F7F" w:rsidRPr="00C766A5" w:rsidRDefault="00462036">
      <w:pPr>
        <w:rPr>
          <w:rFonts w:cs="Times New Roman"/>
          <w:sz w:val="24"/>
          <w:szCs w:val="24"/>
        </w:rPr>
      </w:pPr>
      <w:r w:rsidRPr="00C766A5">
        <w:rPr>
          <w:rFonts w:cs="Times New Roman"/>
          <w:sz w:val="24"/>
          <w:szCs w:val="24"/>
        </w:rPr>
        <w:t xml:space="preserve">No verbatim or potentially identifying Round 1 </w:t>
      </w:r>
      <w:proofErr w:type="gramStart"/>
      <w:r w:rsidRPr="00C766A5">
        <w:rPr>
          <w:rFonts w:cs="Times New Roman"/>
          <w:sz w:val="24"/>
          <w:szCs w:val="24"/>
        </w:rPr>
        <w:t>quotations</w:t>
      </w:r>
      <w:proofErr w:type="gramEnd"/>
      <w:r w:rsidRPr="00C766A5">
        <w:rPr>
          <w:rFonts w:cs="Times New Roman"/>
          <w:sz w:val="24"/>
          <w:szCs w:val="24"/>
        </w:rPr>
        <w:t xml:space="preserve"> are included in this matrix. Themes are summarised at an aggregate level and linked to Round 2 statements only for methodological traceability.</w:t>
      </w:r>
    </w:p>
    <w:tbl>
      <w:tblPr>
        <w:tblStyle w:val="ListTable6Colorful"/>
        <w:tblW w:w="5000" w:type="pct"/>
        <w:tblLook w:val="04A0" w:firstRow="1" w:lastRow="0" w:firstColumn="1" w:lastColumn="0" w:noHBand="0" w:noVBand="1"/>
      </w:tblPr>
      <w:tblGrid>
        <w:gridCol w:w="570"/>
        <w:gridCol w:w="1603"/>
        <w:gridCol w:w="2461"/>
        <w:gridCol w:w="2374"/>
        <w:gridCol w:w="1577"/>
        <w:gridCol w:w="2215"/>
      </w:tblGrid>
      <w:tr w:rsidR="00636F7F" w:rsidRPr="00C766A5" w14:paraId="54BF833B" w14:textId="77777777" w:rsidTr="00C766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0736467E" w14:textId="77777777" w:rsidR="00636F7F" w:rsidRPr="00C766A5" w:rsidRDefault="00462036" w:rsidP="00C766A5">
            <w:pPr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No.</w:t>
            </w:r>
          </w:p>
        </w:tc>
        <w:tc>
          <w:tcPr>
            <w:tcW w:w="730" w:type="pct"/>
          </w:tcPr>
          <w:p w14:paraId="483AF9A8" w14:textId="77777777" w:rsidR="00636F7F" w:rsidRPr="00C766A5" w:rsidRDefault="00462036" w:rsidP="00C766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2 domain</w:t>
            </w:r>
          </w:p>
        </w:tc>
        <w:tc>
          <w:tcPr>
            <w:tcW w:w="1143" w:type="pct"/>
          </w:tcPr>
          <w:p w14:paraId="1988907A" w14:textId="77777777" w:rsidR="00636F7F" w:rsidRPr="00C766A5" w:rsidRDefault="00462036" w:rsidP="00C766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source theme</w:t>
            </w:r>
          </w:p>
        </w:tc>
        <w:tc>
          <w:tcPr>
            <w:tcW w:w="1103" w:type="pct"/>
          </w:tcPr>
          <w:p w14:paraId="271B681F" w14:textId="77777777" w:rsidR="00636F7F" w:rsidRPr="00C766A5" w:rsidRDefault="00462036" w:rsidP="00C766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2 statement</w:t>
            </w:r>
          </w:p>
        </w:tc>
        <w:tc>
          <w:tcPr>
            <w:tcW w:w="734" w:type="pct"/>
          </w:tcPr>
          <w:p w14:paraId="617631E5" w14:textId="77777777" w:rsidR="00636F7F" w:rsidRPr="00C766A5" w:rsidRDefault="00462036" w:rsidP="00C766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Consensus classification</w:t>
            </w:r>
          </w:p>
        </w:tc>
        <w:tc>
          <w:tcPr>
            <w:tcW w:w="1029" w:type="pct"/>
          </w:tcPr>
          <w:p w14:paraId="0E6506B8" w14:textId="77777777" w:rsidR="00636F7F" w:rsidRPr="00C766A5" w:rsidRDefault="00462036" w:rsidP="00C766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Traceability / interpretation note</w:t>
            </w:r>
          </w:p>
        </w:tc>
      </w:tr>
      <w:tr w:rsidR="00636F7F" w:rsidRPr="00C766A5" w14:paraId="06B971D5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521A45B9" w14:textId="77777777" w:rsidR="00636F7F" w:rsidRPr="00C766A5" w:rsidRDefault="00462036" w:rsidP="00C766A5">
            <w:pPr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30" w:type="pct"/>
            <w:shd w:val="clear" w:color="auto" w:fill="auto"/>
          </w:tcPr>
          <w:p w14:paraId="54F1BB7F" w14:textId="77777777" w:rsidR="00636F7F" w:rsidRPr="00C766A5" w:rsidRDefault="00462036" w:rsidP="00C76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Barriers to access</w:t>
            </w:r>
          </w:p>
        </w:tc>
        <w:tc>
          <w:tcPr>
            <w:tcW w:w="1143" w:type="pct"/>
            <w:shd w:val="clear" w:color="auto" w:fill="auto"/>
          </w:tcPr>
          <w:p w14:paraId="58B2E98D" w14:textId="77777777" w:rsidR="00636F7F" w:rsidRPr="00C766A5" w:rsidRDefault="00462036" w:rsidP="00C76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health-system, socioeconomic and cultural barrier themes</w:t>
            </w:r>
          </w:p>
        </w:tc>
        <w:tc>
          <w:tcPr>
            <w:tcW w:w="1103" w:type="pct"/>
            <w:shd w:val="clear" w:color="auto" w:fill="auto"/>
          </w:tcPr>
          <w:p w14:paraId="62B6AE12" w14:textId="77777777" w:rsidR="00636F7F" w:rsidRPr="00C766A5" w:rsidRDefault="00462036" w:rsidP="00C76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The mental health programme in Zambia is fragmented and under-resourced.</w:t>
            </w:r>
          </w:p>
        </w:tc>
        <w:tc>
          <w:tcPr>
            <w:tcW w:w="734" w:type="pct"/>
            <w:shd w:val="clear" w:color="auto" w:fill="auto"/>
          </w:tcPr>
          <w:p w14:paraId="1540DF4E" w14:textId="77777777" w:rsidR="00636F7F" w:rsidRPr="00C766A5" w:rsidRDefault="00462036" w:rsidP="00C76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74C362FD" w14:textId="77777777" w:rsidR="00636F7F" w:rsidRPr="00C766A5" w:rsidRDefault="00462036" w:rsidP="00C76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4A90E5B4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1350BDD7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14:paraId="1B8FA332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Barriers to access</w:t>
            </w:r>
          </w:p>
        </w:tc>
        <w:tc>
          <w:tcPr>
            <w:tcW w:w="1143" w:type="pct"/>
          </w:tcPr>
          <w:p w14:paraId="70747094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health-system, socioeconomic and cultural barrier themes</w:t>
            </w:r>
          </w:p>
        </w:tc>
        <w:tc>
          <w:tcPr>
            <w:tcW w:w="1103" w:type="pct"/>
          </w:tcPr>
          <w:p w14:paraId="3E0FDF8B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Integration of mental health within HIV care remains inadequate.</w:t>
            </w:r>
          </w:p>
        </w:tc>
        <w:tc>
          <w:tcPr>
            <w:tcW w:w="734" w:type="pct"/>
          </w:tcPr>
          <w:p w14:paraId="01FFA20E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46F89C4C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45307A41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33C90FEB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730" w:type="pct"/>
            <w:shd w:val="clear" w:color="auto" w:fill="auto"/>
          </w:tcPr>
          <w:p w14:paraId="437488EE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Barriers to access</w:t>
            </w:r>
          </w:p>
        </w:tc>
        <w:tc>
          <w:tcPr>
            <w:tcW w:w="1143" w:type="pct"/>
            <w:shd w:val="clear" w:color="auto" w:fill="auto"/>
          </w:tcPr>
          <w:p w14:paraId="68B5F524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health-system, socioeconomic and cultural barrier themes</w:t>
            </w:r>
          </w:p>
        </w:tc>
        <w:tc>
          <w:tcPr>
            <w:tcW w:w="1103" w:type="pct"/>
            <w:shd w:val="clear" w:color="auto" w:fill="auto"/>
          </w:tcPr>
          <w:p w14:paraId="278A4863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Poverty and transport costs hinder access for adolescents and young people living with HIV.</w:t>
            </w:r>
          </w:p>
        </w:tc>
        <w:tc>
          <w:tcPr>
            <w:tcW w:w="734" w:type="pct"/>
            <w:shd w:val="clear" w:color="auto" w:fill="auto"/>
          </w:tcPr>
          <w:p w14:paraId="7F07BD6D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66FAF907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2D425E56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6FCEDAFD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30" w:type="pct"/>
          </w:tcPr>
          <w:p w14:paraId="6DB411C5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Barriers to access</w:t>
            </w:r>
          </w:p>
        </w:tc>
        <w:tc>
          <w:tcPr>
            <w:tcW w:w="1143" w:type="pct"/>
          </w:tcPr>
          <w:p w14:paraId="301AA821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health-system, socioeconomic and cultural barrier themes</w:t>
            </w:r>
          </w:p>
        </w:tc>
        <w:tc>
          <w:tcPr>
            <w:tcW w:w="1103" w:type="pct"/>
          </w:tcPr>
          <w:p w14:paraId="09B0D3AE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Unemployment and school dropout rates contribute to poor mental health and HIV care outcomes.</w:t>
            </w:r>
          </w:p>
        </w:tc>
        <w:tc>
          <w:tcPr>
            <w:tcW w:w="734" w:type="pct"/>
          </w:tcPr>
          <w:p w14:paraId="5FB57DF2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50AD8E8C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3607C6B9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6629DC09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730" w:type="pct"/>
            <w:shd w:val="clear" w:color="auto" w:fill="auto"/>
          </w:tcPr>
          <w:p w14:paraId="6EEB3A74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Barriers to access</w:t>
            </w:r>
          </w:p>
        </w:tc>
        <w:tc>
          <w:tcPr>
            <w:tcW w:w="1143" w:type="pct"/>
            <w:shd w:val="clear" w:color="auto" w:fill="auto"/>
          </w:tcPr>
          <w:p w14:paraId="512E77A4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health-system, socioeconomic and cultural barrier themes</w:t>
            </w:r>
          </w:p>
        </w:tc>
        <w:tc>
          <w:tcPr>
            <w:tcW w:w="1103" w:type="pct"/>
            <w:shd w:val="clear" w:color="auto" w:fill="auto"/>
          </w:tcPr>
          <w:p w14:paraId="7EB0A006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Stigma related to HIV and mental illness prevents care-seeking.</w:t>
            </w:r>
          </w:p>
        </w:tc>
        <w:tc>
          <w:tcPr>
            <w:tcW w:w="734" w:type="pct"/>
            <w:shd w:val="clear" w:color="auto" w:fill="auto"/>
          </w:tcPr>
          <w:p w14:paraId="58F7F107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3AE67448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09C0CAA2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635F7581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730" w:type="pct"/>
          </w:tcPr>
          <w:p w14:paraId="602BCEF2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Barriers to access</w:t>
            </w:r>
          </w:p>
        </w:tc>
        <w:tc>
          <w:tcPr>
            <w:tcW w:w="1143" w:type="pct"/>
          </w:tcPr>
          <w:p w14:paraId="0BAF0823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health-system, socioeconomic and cultural barrier themes</w:t>
            </w:r>
          </w:p>
        </w:tc>
        <w:tc>
          <w:tcPr>
            <w:tcW w:w="1103" w:type="pct"/>
          </w:tcPr>
          <w:p w14:paraId="54D7E19C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Cultural beliefs attributing mental illness to witchcraft reduce help-seeking.</w:t>
            </w:r>
          </w:p>
        </w:tc>
        <w:tc>
          <w:tcPr>
            <w:tcW w:w="734" w:type="pct"/>
          </w:tcPr>
          <w:p w14:paraId="78F6EEAB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342EFD86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4A3BB78B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442A713B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730" w:type="pct"/>
            <w:shd w:val="clear" w:color="auto" w:fill="auto"/>
          </w:tcPr>
          <w:p w14:paraId="2B46D01B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Barriers to access</w:t>
            </w:r>
          </w:p>
        </w:tc>
        <w:tc>
          <w:tcPr>
            <w:tcW w:w="1143" w:type="pct"/>
            <w:shd w:val="clear" w:color="auto" w:fill="auto"/>
          </w:tcPr>
          <w:p w14:paraId="56AA7652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health-system, socioeconomic and cultural barrier themes</w:t>
            </w:r>
          </w:p>
        </w:tc>
        <w:tc>
          <w:tcPr>
            <w:tcW w:w="1103" w:type="pct"/>
            <w:shd w:val="clear" w:color="auto" w:fill="auto"/>
          </w:tcPr>
          <w:p w14:paraId="648A11D0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Lack of mental health education in schools contributes to low awareness.</w:t>
            </w:r>
          </w:p>
        </w:tc>
        <w:tc>
          <w:tcPr>
            <w:tcW w:w="734" w:type="pct"/>
            <w:shd w:val="clear" w:color="auto" w:fill="auto"/>
          </w:tcPr>
          <w:p w14:paraId="1FDA333A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10EC09AC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47F690F0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6FFD21D7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30" w:type="pct"/>
          </w:tcPr>
          <w:p w14:paraId="5D0826D8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Barriers to access</w:t>
            </w:r>
          </w:p>
        </w:tc>
        <w:tc>
          <w:tcPr>
            <w:tcW w:w="1143" w:type="pct"/>
          </w:tcPr>
          <w:p w14:paraId="1CC7227C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health-system, socioeconomic and cultural barrier themes</w:t>
            </w:r>
          </w:p>
        </w:tc>
        <w:tc>
          <w:tcPr>
            <w:tcW w:w="1103" w:type="pct"/>
          </w:tcPr>
          <w:p w14:paraId="1E82A5BF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Healthcare providers are inadequately trained to manage adolescent mental health needs.</w:t>
            </w:r>
          </w:p>
        </w:tc>
        <w:tc>
          <w:tcPr>
            <w:tcW w:w="734" w:type="pct"/>
          </w:tcPr>
          <w:p w14:paraId="151D5ACB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2230DF63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3FB2D8CE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592314F6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730" w:type="pct"/>
            <w:shd w:val="clear" w:color="auto" w:fill="auto"/>
          </w:tcPr>
          <w:p w14:paraId="31E8100A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Barriers to access</w:t>
            </w:r>
          </w:p>
        </w:tc>
        <w:tc>
          <w:tcPr>
            <w:tcW w:w="1143" w:type="pct"/>
            <w:shd w:val="clear" w:color="auto" w:fill="auto"/>
          </w:tcPr>
          <w:p w14:paraId="2EBC0DF9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health-system, socioeconomic and cultural barrier themes</w:t>
            </w:r>
          </w:p>
        </w:tc>
        <w:tc>
          <w:tcPr>
            <w:tcW w:w="1103" w:type="pct"/>
            <w:shd w:val="clear" w:color="auto" w:fill="auto"/>
          </w:tcPr>
          <w:p w14:paraId="7F70E817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Mental health services are limited in availability and quality, especially in rural areas.</w:t>
            </w:r>
          </w:p>
        </w:tc>
        <w:tc>
          <w:tcPr>
            <w:tcW w:w="734" w:type="pct"/>
            <w:shd w:val="clear" w:color="auto" w:fill="auto"/>
          </w:tcPr>
          <w:p w14:paraId="2984A402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609498B2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1061B500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4B341F24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730" w:type="pct"/>
          </w:tcPr>
          <w:p w14:paraId="299B8CC9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Barriers to access</w:t>
            </w:r>
          </w:p>
        </w:tc>
        <w:tc>
          <w:tcPr>
            <w:tcW w:w="1143" w:type="pct"/>
          </w:tcPr>
          <w:p w14:paraId="4F74B34A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health-system, socioeconomic and cultural barrier themes</w:t>
            </w:r>
          </w:p>
        </w:tc>
        <w:tc>
          <w:tcPr>
            <w:tcW w:w="1103" w:type="pct"/>
          </w:tcPr>
          <w:p w14:paraId="4B0F0788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Implementation of the Mental Health Act 2019 remains weak due to funding shortages.</w:t>
            </w:r>
          </w:p>
        </w:tc>
        <w:tc>
          <w:tcPr>
            <w:tcW w:w="734" w:type="pct"/>
          </w:tcPr>
          <w:p w14:paraId="1AA0CA98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High agreement / moderate dispersion</w:t>
            </w:r>
          </w:p>
        </w:tc>
        <w:tc>
          <w:tcPr>
            <w:tcW w:w="1029" w:type="pct"/>
          </w:tcPr>
          <w:p w14:paraId="2588E90F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High agreement but moderate dispersion; retained as policy implementation concern requiring validation.</w:t>
            </w:r>
          </w:p>
        </w:tc>
      </w:tr>
      <w:tr w:rsidR="00636F7F" w:rsidRPr="00C766A5" w14:paraId="7F1B9CC0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0F697E98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730" w:type="pct"/>
            <w:shd w:val="clear" w:color="auto" w:fill="auto"/>
          </w:tcPr>
          <w:p w14:paraId="5D2A4C88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Facilitators to access</w:t>
            </w:r>
          </w:p>
        </w:tc>
        <w:tc>
          <w:tcPr>
            <w:tcW w:w="1143" w:type="pct"/>
            <w:shd w:val="clear" w:color="auto" w:fill="auto"/>
          </w:tcPr>
          <w:p w14:paraId="3AC6E9E7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service-delivery facilitator and system-strengthening themes</w:t>
            </w:r>
          </w:p>
        </w:tc>
        <w:tc>
          <w:tcPr>
            <w:tcW w:w="1103" w:type="pct"/>
            <w:shd w:val="clear" w:color="auto" w:fill="auto"/>
          </w:tcPr>
          <w:p w14:paraId="7C081D5A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Public health facilities provide the main source of counselling for youth.</w:t>
            </w:r>
          </w:p>
        </w:tc>
        <w:tc>
          <w:tcPr>
            <w:tcW w:w="734" w:type="pct"/>
            <w:shd w:val="clear" w:color="auto" w:fill="auto"/>
          </w:tcPr>
          <w:p w14:paraId="5E5B0F1D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No consensus</w:t>
            </w:r>
          </w:p>
        </w:tc>
        <w:tc>
          <w:tcPr>
            <w:tcW w:w="1029" w:type="pct"/>
            <w:shd w:val="clear" w:color="auto" w:fill="auto"/>
          </w:tcPr>
          <w:p w14:paraId="665FAA78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Did not meet consensus threshold; retained as an area of uncertainty.</w:t>
            </w:r>
          </w:p>
        </w:tc>
      </w:tr>
      <w:tr w:rsidR="00636F7F" w:rsidRPr="00C766A5" w14:paraId="632E12F5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615965D0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730" w:type="pct"/>
          </w:tcPr>
          <w:p w14:paraId="3DA3C457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Facilitators to access</w:t>
            </w:r>
          </w:p>
        </w:tc>
        <w:tc>
          <w:tcPr>
            <w:tcW w:w="1143" w:type="pct"/>
          </w:tcPr>
          <w:p w14:paraId="4EB00709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service-delivery facilitator and system-strengthening themes</w:t>
            </w:r>
          </w:p>
        </w:tc>
        <w:tc>
          <w:tcPr>
            <w:tcW w:w="1103" w:type="pct"/>
          </w:tcPr>
          <w:p w14:paraId="520ABE68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Peer- and NGO-led initiatives are critical sources of support.</w:t>
            </w:r>
          </w:p>
        </w:tc>
        <w:tc>
          <w:tcPr>
            <w:tcW w:w="734" w:type="pct"/>
          </w:tcPr>
          <w:p w14:paraId="01378955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High agreement / moderate dispersion</w:t>
            </w:r>
          </w:p>
        </w:tc>
        <w:tc>
          <w:tcPr>
            <w:tcW w:w="1029" w:type="pct"/>
          </w:tcPr>
          <w:p w14:paraId="4A9C246C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High agreement but moderate dispersion; indicates broad interest but less stable ratings.</w:t>
            </w:r>
          </w:p>
        </w:tc>
      </w:tr>
      <w:tr w:rsidR="00636F7F" w:rsidRPr="00C766A5" w14:paraId="4CF4EB59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799A307E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730" w:type="pct"/>
            <w:shd w:val="clear" w:color="auto" w:fill="auto"/>
          </w:tcPr>
          <w:p w14:paraId="2B435CC4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Facilitators to access</w:t>
            </w:r>
          </w:p>
        </w:tc>
        <w:tc>
          <w:tcPr>
            <w:tcW w:w="1143" w:type="pct"/>
            <w:shd w:val="clear" w:color="auto" w:fill="auto"/>
          </w:tcPr>
          <w:p w14:paraId="524AA2F2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service-delivery facilitator and system-strengthening themes</w:t>
            </w:r>
          </w:p>
        </w:tc>
        <w:tc>
          <w:tcPr>
            <w:tcW w:w="1103" w:type="pct"/>
            <w:shd w:val="clear" w:color="auto" w:fill="auto"/>
          </w:tcPr>
          <w:p w14:paraId="1459EC4B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Faith-based organisations play an important role in community support.</w:t>
            </w:r>
          </w:p>
        </w:tc>
        <w:tc>
          <w:tcPr>
            <w:tcW w:w="734" w:type="pct"/>
            <w:shd w:val="clear" w:color="auto" w:fill="auto"/>
          </w:tcPr>
          <w:p w14:paraId="58CAAC92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High agreement / moderate dispersion</w:t>
            </w:r>
          </w:p>
        </w:tc>
        <w:tc>
          <w:tcPr>
            <w:tcW w:w="1029" w:type="pct"/>
            <w:shd w:val="clear" w:color="auto" w:fill="auto"/>
          </w:tcPr>
          <w:p w14:paraId="724B4723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High agreement but moderate dispersion; indicates broad interest but less stable ratings.</w:t>
            </w:r>
          </w:p>
        </w:tc>
      </w:tr>
      <w:tr w:rsidR="00636F7F" w:rsidRPr="00C766A5" w14:paraId="47F458F3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6AF582E1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730" w:type="pct"/>
          </w:tcPr>
          <w:p w14:paraId="67AAF1DD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Facilitators to access</w:t>
            </w:r>
          </w:p>
        </w:tc>
        <w:tc>
          <w:tcPr>
            <w:tcW w:w="1143" w:type="pct"/>
          </w:tcPr>
          <w:p w14:paraId="240D9C81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service-delivery facilitator and system-strengthening themes</w:t>
            </w:r>
          </w:p>
        </w:tc>
        <w:tc>
          <w:tcPr>
            <w:tcW w:w="1103" w:type="pct"/>
          </w:tcPr>
          <w:p w14:paraId="3939C5F3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Decentralisation of services would improve access.</w:t>
            </w:r>
          </w:p>
        </w:tc>
        <w:tc>
          <w:tcPr>
            <w:tcW w:w="734" w:type="pct"/>
          </w:tcPr>
          <w:p w14:paraId="786BC0E2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58D3947D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5C478BF6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04053E71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730" w:type="pct"/>
            <w:shd w:val="clear" w:color="auto" w:fill="auto"/>
          </w:tcPr>
          <w:p w14:paraId="5839388F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Facilitators to access</w:t>
            </w:r>
          </w:p>
        </w:tc>
        <w:tc>
          <w:tcPr>
            <w:tcW w:w="1143" w:type="pct"/>
            <w:shd w:val="clear" w:color="auto" w:fill="auto"/>
          </w:tcPr>
          <w:p w14:paraId="263BB90A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service-delivery facilitator and system-strengthening themes</w:t>
            </w:r>
          </w:p>
        </w:tc>
        <w:tc>
          <w:tcPr>
            <w:tcW w:w="1103" w:type="pct"/>
            <w:shd w:val="clear" w:color="auto" w:fill="auto"/>
          </w:tcPr>
          <w:p w14:paraId="5C368E78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Youth-friendly, confidential, and stigma-free services are essential.</w:t>
            </w:r>
          </w:p>
        </w:tc>
        <w:tc>
          <w:tcPr>
            <w:tcW w:w="734" w:type="pct"/>
            <w:shd w:val="clear" w:color="auto" w:fill="auto"/>
          </w:tcPr>
          <w:p w14:paraId="340489A1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2D20BEE1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0F189578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3FD14E7C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730" w:type="pct"/>
          </w:tcPr>
          <w:p w14:paraId="5BBCB706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Facilitators to access</w:t>
            </w:r>
          </w:p>
        </w:tc>
        <w:tc>
          <w:tcPr>
            <w:tcW w:w="1143" w:type="pct"/>
          </w:tcPr>
          <w:p w14:paraId="71C6420F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service-delivery facilitator and system-strengthening themes</w:t>
            </w:r>
          </w:p>
        </w:tc>
        <w:tc>
          <w:tcPr>
            <w:tcW w:w="1103" w:type="pct"/>
          </w:tcPr>
          <w:p w14:paraId="5DE13455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Awareness campaigns can reduce stigma and encourage early help-seeking.</w:t>
            </w:r>
          </w:p>
        </w:tc>
        <w:tc>
          <w:tcPr>
            <w:tcW w:w="734" w:type="pct"/>
          </w:tcPr>
          <w:p w14:paraId="23A17686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044CBDC3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64A7C5E5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3D2AD5D7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730" w:type="pct"/>
            <w:shd w:val="clear" w:color="auto" w:fill="auto"/>
          </w:tcPr>
          <w:p w14:paraId="2F5A6A41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 xml:space="preserve">Facilitators to </w:t>
            </w:r>
            <w:r w:rsidRPr="00C766A5">
              <w:rPr>
                <w:rFonts w:cs="Times New Roman"/>
                <w:sz w:val="24"/>
                <w:szCs w:val="24"/>
              </w:rPr>
              <w:lastRenderedPageBreak/>
              <w:t>access</w:t>
            </w:r>
          </w:p>
        </w:tc>
        <w:tc>
          <w:tcPr>
            <w:tcW w:w="1143" w:type="pct"/>
            <w:shd w:val="clear" w:color="auto" w:fill="auto"/>
          </w:tcPr>
          <w:p w14:paraId="3AAB0E97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>Round 1 service-</w:t>
            </w:r>
            <w:r w:rsidRPr="00C766A5">
              <w:rPr>
                <w:rFonts w:cs="Times New Roman"/>
                <w:sz w:val="24"/>
                <w:szCs w:val="24"/>
              </w:rPr>
              <w:lastRenderedPageBreak/>
              <w:t>delivery facilitator and system-strengthening themes</w:t>
            </w:r>
          </w:p>
        </w:tc>
        <w:tc>
          <w:tcPr>
            <w:tcW w:w="1103" w:type="pct"/>
            <w:shd w:val="clear" w:color="auto" w:fill="auto"/>
          </w:tcPr>
          <w:p w14:paraId="4F5B7B90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 xml:space="preserve">Training adolescents </w:t>
            </w:r>
            <w:r w:rsidRPr="00C766A5">
              <w:rPr>
                <w:rFonts w:cs="Times New Roman"/>
                <w:sz w:val="24"/>
                <w:szCs w:val="24"/>
              </w:rPr>
              <w:lastRenderedPageBreak/>
              <w:t>as peer advocates enhances engagement.</w:t>
            </w:r>
          </w:p>
        </w:tc>
        <w:tc>
          <w:tcPr>
            <w:tcW w:w="734" w:type="pct"/>
            <w:shd w:val="clear" w:color="auto" w:fill="auto"/>
          </w:tcPr>
          <w:p w14:paraId="03A032CF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 xml:space="preserve">Met </w:t>
            </w:r>
            <w:r w:rsidRPr="00C766A5">
              <w:rPr>
                <w:rFonts w:cs="Times New Roman"/>
                <w:sz w:val="24"/>
                <w:szCs w:val="24"/>
              </w:rPr>
              <w:lastRenderedPageBreak/>
              <w:t>prespecified criterion</w:t>
            </w:r>
          </w:p>
        </w:tc>
        <w:tc>
          <w:tcPr>
            <w:tcW w:w="1029" w:type="pct"/>
            <w:shd w:val="clear" w:color="auto" w:fill="auto"/>
          </w:tcPr>
          <w:p w14:paraId="33C9ED77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 xml:space="preserve">Statement generated </w:t>
            </w:r>
            <w:r w:rsidRPr="00C766A5">
              <w:rPr>
                <w:rFonts w:cs="Times New Roman"/>
                <w:sz w:val="24"/>
                <w:szCs w:val="24"/>
              </w:rPr>
              <w:lastRenderedPageBreak/>
              <w:t>from Round 1 expert responses and rated in Round 2.</w:t>
            </w:r>
          </w:p>
        </w:tc>
      </w:tr>
      <w:tr w:rsidR="00636F7F" w:rsidRPr="00C766A5" w14:paraId="4CAA8E1D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135FCFF7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730" w:type="pct"/>
          </w:tcPr>
          <w:p w14:paraId="5DB9EE2D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Digital and mobile health strategies</w:t>
            </w:r>
          </w:p>
        </w:tc>
        <w:tc>
          <w:tcPr>
            <w:tcW w:w="1143" w:type="pct"/>
          </w:tcPr>
          <w:p w14:paraId="40F31E12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digital/mHealth design and accessibility themes</w:t>
            </w:r>
          </w:p>
        </w:tc>
        <w:tc>
          <w:tcPr>
            <w:tcW w:w="1103" w:type="pct"/>
          </w:tcPr>
          <w:p w14:paraId="49D57DB1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A mobile application can complement in-person counselling.</w:t>
            </w:r>
          </w:p>
        </w:tc>
        <w:tc>
          <w:tcPr>
            <w:tcW w:w="734" w:type="pct"/>
          </w:tcPr>
          <w:p w14:paraId="1E43D162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2AC46D87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20A2C78D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461ABF9C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730" w:type="pct"/>
            <w:shd w:val="clear" w:color="auto" w:fill="auto"/>
          </w:tcPr>
          <w:p w14:paraId="0B358BAE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Digital and mobile health strategies</w:t>
            </w:r>
          </w:p>
        </w:tc>
        <w:tc>
          <w:tcPr>
            <w:tcW w:w="1143" w:type="pct"/>
            <w:shd w:val="clear" w:color="auto" w:fill="auto"/>
          </w:tcPr>
          <w:p w14:paraId="203C5B0B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digital/mHealth design and accessibility themes</w:t>
            </w:r>
          </w:p>
        </w:tc>
        <w:tc>
          <w:tcPr>
            <w:tcW w:w="1103" w:type="pct"/>
            <w:shd w:val="clear" w:color="auto" w:fill="auto"/>
          </w:tcPr>
          <w:p w14:paraId="467D7DC0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The application should function offline and with low data requirements.</w:t>
            </w:r>
          </w:p>
        </w:tc>
        <w:tc>
          <w:tcPr>
            <w:tcW w:w="734" w:type="pct"/>
            <w:shd w:val="clear" w:color="auto" w:fill="auto"/>
          </w:tcPr>
          <w:p w14:paraId="574E16E6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69D161D3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540CBD35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1FCE3548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730" w:type="pct"/>
          </w:tcPr>
          <w:p w14:paraId="44DEC274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Digital and mobile health strategies</w:t>
            </w:r>
          </w:p>
        </w:tc>
        <w:tc>
          <w:tcPr>
            <w:tcW w:w="1143" w:type="pct"/>
          </w:tcPr>
          <w:p w14:paraId="30D6B7EE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digital/mHealth design and accessibility themes</w:t>
            </w:r>
          </w:p>
        </w:tc>
        <w:tc>
          <w:tcPr>
            <w:tcW w:w="1103" w:type="pct"/>
          </w:tcPr>
          <w:p w14:paraId="385AEC7E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Confidentiality through PINs, biometrics, and encryption is critical for trust.</w:t>
            </w:r>
          </w:p>
        </w:tc>
        <w:tc>
          <w:tcPr>
            <w:tcW w:w="734" w:type="pct"/>
          </w:tcPr>
          <w:p w14:paraId="132F7F1C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202C06C7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008DBE0C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07C38DF2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730" w:type="pct"/>
            <w:shd w:val="clear" w:color="auto" w:fill="auto"/>
          </w:tcPr>
          <w:p w14:paraId="742941C5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Digital and mobile health strategies</w:t>
            </w:r>
          </w:p>
        </w:tc>
        <w:tc>
          <w:tcPr>
            <w:tcW w:w="1143" w:type="pct"/>
            <w:shd w:val="clear" w:color="auto" w:fill="auto"/>
          </w:tcPr>
          <w:p w14:paraId="6DCD1FFE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digital/mHealth design and accessibility themes</w:t>
            </w:r>
          </w:p>
        </w:tc>
        <w:tc>
          <w:tcPr>
            <w:tcW w:w="1103" w:type="pct"/>
            <w:shd w:val="clear" w:color="auto" w:fill="auto"/>
          </w:tcPr>
          <w:p w14:paraId="7151562C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The application must comply with the Data Protection Act and allow anonymous use.</w:t>
            </w:r>
          </w:p>
        </w:tc>
        <w:tc>
          <w:tcPr>
            <w:tcW w:w="734" w:type="pct"/>
            <w:shd w:val="clear" w:color="auto" w:fill="auto"/>
          </w:tcPr>
          <w:p w14:paraId="5863BC69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053FEDAD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053D43D5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58C08EAD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730" w:type="pct"/>
          </w:tcPr>
          <w:p w14:paraId="6E2E6527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Digital and mobile health strategies</w:t>
            </w:r>
          </w:p>
        </w:tc>
        <w:tc>
          <w:tcPr>
            <w:tcW w:w="1143" w:type="pct"/>
          </w:tcPr>
          <w:p w14:paraId="04EB7A77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digital/mHealth design and accessibility themes</w:t>
            </w:r>
          </w:p>
        </w:tc>
        <w:tc>
          <w:tcPr>
            <w:tcW w:w="1103" w:type="pct"/>
          </w:tcPr>
          <w:p w14:paraId="58C5CCEB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Short videos and social-media integration can enhance engagement.</w:t>
            </w:r>
          </w:p>
        </w:tc>
        <w:tc>
          <w:tcPr>
            <w:tcW w:w="734" w:type="pct"/>
          </w:tcPr>
          <w:p w14:paraId="37533B39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0F13CA1C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17868F0A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1A5FE393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730" w:type="pct"/>
            <w:shd w:val="clear" w:color="auto" w:fill="auto"/>
          </w:tcPr>
          <w:p w14:paraId="6BAA43C9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Digital and mobile health strategies</w:t>
            </w:r>
          </w:p>
        </w:tc>
        <w:tc>
          <w:tcPr>
            <w:tcW w:w="1143" w:type="pct"/>
            <w:shd w:val="clear" w:color="auto" w:fill="auto"/>
          </w:tcPr>
          <w:p w14:paraId="7DF7577F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digital/mHealth design and accessibility themes</w:t>
            </w:r>
          </w:p>
        </w:tc>
        <w:tc>
          <w:tcPr>
            <w:tcW w:w="1103" w:type="pct"/>
            <w:shd w:val="clear" w:color="auto" w:fill="auto"/>
          </w:tcPr>
          <w:p w14:paraId="14E4AF7B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The application should support multiple languages and audio-visual content.</w:t>
            </w:r>
          </w:p>
        </w:tc>
        <w:tc>
          <w:tcPr>
            <w:tcW w:w="734" w:type="pct"/>
            <w:shd w:val="clear" w:color="auto" w:fill="auto"/>
          </w:tcPr>
          <w:p w14:paraId="242CBD67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636AE957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1477FDFE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202A43B5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730" w:type="pct"/>
          </w:tcPr>
          <w:p w14:paraId="10743EC3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Digital and mobile health strategies</w:t>
            </w:r>
          </w:p>
        </w:tc>
        <w:tc>
          <w:tcPr>
            <w:tcW w:w="1143" w:type="pct"/>
          </w:tcPr>
          <w:p w14:paraId="569887AB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digital/mHealth design and accessibility themes</w:t>
            </w:r>
          </w:p>
        </w:tc>
        <w:tc>
          <w:tcPr>
            <w:tcW w:w="1103" w:type="pct"/>
          </w:tcPr>
          <w:p w14:paraId="34999A3E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Sign-language or gesture-based features would promote inclusivity.</w:t>
            </w:r>
          </w:p>
        </w:tc>
        <w:tc>
          <w:tcPr>
            <w:tcW w:w="734" w:type="pct"/>
          </w:tcPr>
          <w:p w14:paraId="03BEFE51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512F08F8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752363AE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5A57C254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730" w:type="pct"/>
            <w:shd w:val="clear" w:color="auto" w:fill="auto"/>
          </w:tcPr>
          <w:p w14:paraId="73C6EE2C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Cultural and multisector considerations</w:t>
            </w:r>
          </w:p>
        </w:tc>
        <w:tc>
          <w:tcPr>
            <w:tcW w:w="1143" w:type="pct"/>
            <w:shd w:val="clear" w:color="auto" w:fill="auto"/>
          </w:tcPr>
          <w:p w14:paraId="31AC1023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cultural relevance, community actor and implementation partnership themes</w:t>
            </w:r>
          </w:p>
        </w:tc>
        <w:tc>
          <w:tcPr>
            <w:tcW w:w="1103" w:type="pct"/>
            <w:shd w:val="clear" w:color="auto" w:fill="auto"/>
          </w:tcPr>
          <w:p w14:paraId="30F3D5D3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The application should reflect Zambian values and storytelling.</w:t>
            </w:r>
          </w:p>
        </w:tc>
        <w:tc>
          <w:tcPr>
            <w:tcW w:w="734" w:type="pct"/>
            <w:shd w:val="clear" w:color="auto" w:fill="auto"/>
          </w:tcPr>
          <w:p w14:paraId="155EC198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6F3591B3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03274EC3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69B3FA87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730" w:type="pct"/>
          </w:tcPr>
          <w:p w14:paraId="389EF1AC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Cultural and multisector considerations</w:t>
            </w:r>
          </w:p>
        </w:tc>
        <w:tc>
          <w:tcPr>
            <w:tcW w:w="1143" w:type="pct"/>
          </w:tcPr>
          <w:p w14:paraId="44AA2B27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cultural relevance, community actor and implementation partnership themes</w:t>
            </w:r>
          </w:p>
        </w:tc>
        <w:tc>
          <w:tcPr>
            <w:tcW w:w="1103" w:type="pct"/>
          </w:tcPr>
          <w:p w14:paraId="4F463E93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Collaboration with traditional and faith leaders can increase acceptance.</w:t>
            </w:r>
          </w:p>
        </w:tc>
        <w:tc>
          <w:tcPr>
            <w:tcW w:w="734" w:type="pct"/>
          </w:tcPr>
          <w:p w14:paraId="54DB6B36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</w:tcPr>
          <w:p w14:paraId="00ACE058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  <w:tr w:rsidR="00636F7F" w:rsidRPr="00C766A5" w14:paraId="300092E7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16054A90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730" w:type="pct"/>
            <w:shd w:val="clear" w:color="auto" w:fill="auto"/>
          </w:tcPr>
          <w:p w14:paraId="640A2C5E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 xml:space="preserve">Cultural and </w:t>
            </w:r>
            <w:r w:rsidRPr="00C766A5">
              <w:rPr>
                <w:rFonts w:cs="Times New Roman"/>
                <w:sz w:val="24"/>
                <w:szCs w:val="24"/>
              </w:rPr>
              <w:lastRenderedPageBreak/>
              <w:t>multisector considerations</w:t>
            </w:r>
          </w:p>
        </w:tc>
        <w:tc>
          <w:tcPr>
            <w:tcW w:w="1143" w:type="pct"/>
            <w:shd w:val="clear" w:color="auto" w:fill="auto"/>
          </w:tcPr>
          <w:p w14:paraId="75551096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 xml:space="preserve">Round 1 cultural </w:t>
            </w:r>
            <w:r w:rsidRPr="00C766A5">
              <w:rPr>
                <w:rFonts w:cs="Times New Roman"/>
                <w:sz w:val="24"/>
                <w:szCs w:val="24"/>
              </w:rPr>
              <w:lastRenderedPageBreak/>
              <w:t>relevance, community actor and implementation partnership themes</w:t>
            </w:r>
          </w:p>
        </w:tc>
        <w:tc>
          <w:tcPr>
            <w:tcW w:w="1103" w:type="pct"/>
            <w:shd w:val="clear" w:color="auto" w:fill="auto"/>
          </w:tcPr>
          <w:p w14:paraId="5B6A4B5E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 xml:space="preserve">The application should </w:t>
            </w:r>
            <w:r w:rsidRPr="00C766A5">
              <w:rPr>
                <w:rFonts w:cs="Times New Roman"/>
                <w:sz w:val="24"/>
                <w:szCs w:val="24"/>
              </w:rPr>
              <w:lastRenderedPageBreak/>
              <w:t>acknowledge traditional coping strategies.</w:t>
            </w:r>
          </w:p>
        </w:tc>
        <w:tc>
          <w:tcPr>
            <w:tcW w:w="734" w:type="pct"/>
            <w:shd w:val="clear" w:color="auto" w:fill="auto"/>
          </w:tcPr>
          <w:p w14:paraId="17DA3F2D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 xml:space="preserve">Met </w:t>
            </w:r>
            <w:r w:rsidRPr="00C766A5">
              <w:rPr>
                <w:rFonts w:cs="Times New Roman"/>
                <w:sz w:val="24"/>
                <w:szCs w:val="24"/>
              </w:rPr>
              <w:lastRenderedPageBreak/>
              <w:t>prespecified criterion</w:t>
            </w:r>
          </w:p>
        </w:tc>
        <w:tc>
          <w:tcPr>
            <w:tcW w:w="1029" w:type="pct"/>
            <w:shd w:val="clear" w:color="auto" w:fill="auto"/>
          </w:tcPr>
          <w:p w14:paraId="2AB655A6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 xml:space="preserve">Statement generated </w:t>
            </w:r>
            <w:r w:rsidRPr="00C766A5">
              <w:rPr>
                <w:rFonts w:cs="Times New Roman"/>
                <w:sz w:val="24"/>
                <w:szCs w:val="24"/>
              </w:rPr>
              <w:lastRenderedPageBreak/>
              <w:t>from Round 1 expert responses and rated in Round 2.</w:t>
            </w:r>
          </w:p>
        </w:tc>
      </w:tr>
      <w:tr w:rsidR="00636F7F" w:rsidRPr="00C766A5" w14:paraId="26E76ECB" w14:textId="77777777" w:rsidTr="00C766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</w:tcPr>
          <w:p w14:paraId="21107A57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730" w:type="pct"/>
          </w:tcPr>
          <w:p w14:paraId="10322DF4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Cultural and multisector considerations</w:t>
            </w:r>
          </w:p>
        </w:tc>
        <w:tc>
          <w:tcPr>
            <w:tcW w:w="1143" w:type="pct"/>
          </w:tcPr>
          <w:p w14:paraId="7019B504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cultural relevance, community actor and implementation partnership themes</w:t>
            </w:r>
          </w:p>
        </w:tc>
        <w:tc>
          <w:tcPr>
            <w:tcW w:w="1103" w:type="pct"/>
          </w:tcPr>
          <w:p w14:paraId="25425051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Partnerships with telecommunications and technology companies can improve affordability.</w:t>
            </w:r>
          </w:p>
        </w:tc>
        <w:tc>
          <w:tcPr>
            <w:tcW w:w="734" w:type="pct"/>
          </w:tcPr>
          <w:p w14:paraId="7C10029F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High agreement / moderate dispersion</w:t>
            </w:r>
          </w:p>
        </w:tc>
        <w:tc>
          <w:tcPr>
            <w:tcW w:w="1029" w:type="pct"/>
          </w:tcPr>
          <w:p w14:paraId="0D418DBE" w14:textId="77777777" w:rsidR="00636F7F" w:rsidRPr="00C766A5" w:rsidRDefault="00462036" w:rsidP="00C766A5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High agreement but moderate dispersion; implementation partnership to test rather than definitive consensus.</w:t>
            </w:r>
          </w:p>
        </w:tc>
      </w:tr>
      <w:tr w:rsidR="00636F7F" w:rsidRPr="00C766A5" w14:paraId="0ED5C360" w14:textId="77777777" w:rsidTr="00C76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" w:type="pct"/>
            <w:shd w:val="clear" w:color="auto" w:fill="auto"/>
          </w:tcPr>
          <w:p w14:paraId="17922123" w14:textId="77777777" w:rsidR="00636F7F" w:rsidRPr="00C766A5" w:rsidRDefault="00462036" w:rsidP="00C766A5">
            <w:pPr>
              <w:spacing w:before="24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730" w:type="pct"/>
            <w:shd w:val="clear" w:color="auto" w:fill="auto"/>
          </w:tcPr>
          <w:p w14:paraId="5C0E08D1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Cultural and multisector considerations</w:t>
            </w:r>
          </w:p>
        </w:tc>
        <w:tc>
          <w:tcPr>
            <w:tcW w:w="1143" w:type="pct"/>
            <w:shd w:val="clear" w:color="auto" w:fill="auto"/>
          </w:tcPr>
          <w:p w14:paraId="2175103F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Round 1 cultural relevance, community actor and implementation partnership themes</w:t>
            </w:r>
          </w:p>
        </w:tc>
        <w:tc>
          <w:tcPr>
            <w:tcW w:w="1103" w:type="pct"/>
            <w:shd w:val="clear" w:color="auto" w:fill="auto"/>
          </w:tcPr>
          <w:p w14:paraId="22FCFDF5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Multi-sector collaboration is essential for sustainable implementation.</w:t>
            </w:r>
          </w:p>
        </w:tc>
        <w:tc>
          <w:tcPr>
            <w:tcW w:w="734" w:type="pct"/>
            <w:shd w:val="clear" w:color="auto" w:fill="auto"/>
          </w:tcPr>
          <w:p w14:paraId="5EA754E7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Met prespecified criterion</w:t>
            </w:r>
          </w:p>
        </w:tc>
        <w:tc>
          <w:tcPr>
            <w:tcW w:w="1029" w:type="pct"/>
            <w:shd w:val="clear" w:color="auto" w:fill="auto"/>
          </w:tcPr>
          <w:p w14:paraId="547104E6" w14:textId="77777777" w:rsidR="00636F7F" w:rsidRPr="00C766A5" w:rsidRDefault="00462036" w:rsidP="00C766A5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C766A5">
              <w:rPr>
                <w:rFonts w:cs="Times New Roman"/>
                <w:sz w:val="24"/>
                <w:szCs w:val="24"/>
              </w:rPr>
              <w:t>Statement generated from Round 1 expert responses and rated in Round 2.</w:t>
            </w:r>
          </w:p>
        </w:tc>
      </w:tr>
    </w:tbl>
    <w:p w14:paraId="39B4E8DB" w14:textId="77777777" w:rsidR="00636F7F" w:rsidRPr="00C766A5" w:rsidRDefault="00462036">
      <w:pPr>
        <w:rPr>
          <w:rFonts w:cs="Times New Roman"/>
          <w:sz w:val="24"/>
          <w:szCs w:val="24"/>
        </w:rPr>
      </w:pPr>
      <w:r w:rsidRPr="00C766A5">
        <w:rPr>
          <w:rFonts w:cs="Times New Roman"/>
          <w:sz w:val="24"/>
          <w:szCs w:val="24"/>
        </w:rPr>
        <w:t>Note. Agreement was calculated in the main manuscript as the number of experts rating each item 4 or 5 divided by all 10 respondents. Classification follows the prespecified consensus criterion used in the main manuscript: at least 70% agreement and IQR &lt;= 1. Items with at least 70% agreement but IQR &gt; 1 were classified as high agreement with moderate dispersion.</w:t>
      </w:r>
    </w:p>
    <w:sectPr w:rsidR="00636F7F" w:rsidRPr="00C766A5" w:rsidSect="00C766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9594299">
    <w:abstractNumId w:val="8"/>
  </w:num>
  <w:num w:numId="2" w16cid:durableId="928002620">
    <w:abstractNumId w:val="6"/>
  </w:num>
  <w:num w:numId="3" w16cid:durableId="1009212966">
    <w:abstractNumId w:val="5"/>
  </w:num>
  <w:num w:numId="4" w16cid:durableId="266427360">
    <w:abstractNumId w:val="4"/>
  </w:num>
  <w:num w:numId="5" w16cid:durableId="1878548128">
    <w:abstractNumId w:val="7"/>
  </w:num>
  <w:num w:numId="6" w16cid:durableId="1814180596">
    <w:abstractNumId w:val="3"/>
  </w:num>
  <w:num w:numId="7" w16cid:durableId="1656836986">
    <w:abstractNumId w:val="2"/>
  </w:num>
  <w:num w:numId="8" w16cid:durableId="1662005533">
    <w:abstractNumId w:val="1"/>
  </w:num>
  <w:num w:numId="9" w16cid:durableId="1485467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2036"/>
    <w:rsid w:val="00636F7F"/>
    <w:rsid w:val="00A606B3"/>
    <w:rsid w:val="00AA1D8D"/>
    <w:rsid w:val="00B47730"/>
    <w:rsid w:val="00C766A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19B0E8"/>
  <w14:defaultImageDpi w14:val="300"/>
  <w15:docId w15:val="{7B6B720C-5F77-472E-ABEA-1E0F79A4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Table6Colorful">
    <w:name w:val="List Table 6 Colorful"/>
    <w:basedOn w:val="TableNormal"/>
    <w:uiPriority w:val="51"/>
    <w:rsid w:val="00C766A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1272</Words>
  <Characters>7956</Characters>
  <Application>Microsoft Office Word</Application>
  <DocSecurity>0</DocSecurity>
  <Lines>612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Muleya, Carlos (CDC/GHC/DGHT)</cp:lastModifiedBy>
  <cp:revision>2</cp:revision>
  <dcterms:created xsi:type="dcterms:W3CDTF">2026-09-04T16:21:00Z</dcterms:created>
  <dcterms:modified xsi:type="dcterms:W3CDTF">2026-09-04T16:21:00Z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2026-09-04T16:14:20Z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be876eb5-e4f2-40b3-aefc-389ac7a5b82e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