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DBA" w:rsidRPr="005B5B4B" w:rsidRDefault="00D87DBA" w:rsidP="00D87DBA">
      <w:pPr>
        <w:spacing w:line="360" w:lineRule="auto"/>
        <w:jc w:val="both"/>
        <w:rPr>
          <w:rFonts w:ascii="Times New Roman" w:hAnsi="Times New Roman" w:cs="Times New Roman"/>
          <w:b/>
          <w:bCs/>
          <w:sz w:val="24"/>
          <w:szCs w:val="24"/>
        </w:rPr>
      </w:pPr>
      <w:r w:rsidRPr="005B5B4B">
        <w:rPr>
          <w:rFonts w:ascii="Times New Roman" w:hAnsi="Times New Roman" w:cs="Times New Roman"/>
          <w:b/>
          <w:bCs/>
          <w:sz w:val="24"/>
          <w:szCs w:val="24"/>
        </w:rPr>
        <w:t>Supplementary ma</w:t>
      </w:r>
      <w:bookmarkStart w:id="0" w:name="_GoBack"/>
      <w:bookmarkEnd w:id="0"/>
      <w:r w:rsidRPr="005B5B4B">
        <w:rPr>
          <w:rFonts w:ascii="Times New Roman" w:hAnsi="Times New Roman" w:cs="Times New Roman"/>
          <w:b/>
          <w:bCs/>
          <w:sz w:val="24"/>
          <w:szCs w:val="24"/>
        </w:rPr>
        <w:t>terial</w:t>
      </w:r>
      <w:r>
        <w:rPr>
          <w:rFonts w:ascii="Times New Roman" w:hAnsi="Times New Roman" w:cs="Times New Roman"/>
          <w:b/>
          <w:bCs/>
          <w:sz w:val="24"/>
          <w:szCs w:val="24"/>
        </w:rPr>
        <w:t>s</w:t>
      </w:r>
    </w:p>
    <w:p w:rsidR="00D87DBA" w:rsidRPr="005B5B4B" w:rsidRDefault="00D87DBA" w:rsidP="00D87DBA">
      <w:pPr>
        <w:spacing w:line="360" w:lineRule="auto"/>
        <w:jc w:val="both"/>
        <w:rPr>
          <w:rFonts w:ascii="Times New Roman" w:hAnsi="Times New Roman" w:cs="Times New Roman"/>
          <w:sz w:val="24"/>
          <w:szCs w:val="24"/>
        </w:rPr>
      </w:pPr>
      <w:r w:rsidRPr="005B5B4B">
        <w:rPr>
          <w:rFonts w:ascii="Times New Roman" w:hAnsi="Times New Roman" w:cs="Times New Roman"/>
          <w:b/>
          <w:bCs/>
          <w:sz w:val="24"/>
          <w:szCs w:val="24"/>
        </w:rPr>
        <w:t>Supplementary Table S1.</w:t>
      </w:r>
      <w:r w:rsidRPr="005B5B4B">
        <w:rPr>
          <w:rFonts w:ascii="Times New Roman" w:hAnsi="Times New Roman" w:cs="Times New Roman"/>
          <w:sz w:val="24"/>
          <w:szCs w:val="24"/>
        </w:rPr>
        <w:t xml:space="preserve"> Sensitivity analysis comparing adjusted incidence rate ratios (IRRs) from the survey-weighted quasi-Poisson model (primary analysis), conventional negative binomial regression, and multilevel negative binomial regression.</w:t>
      </w:r>
    </w:p>
    <w:p w:rsidR="00D87DBA" w:rsidRPr="005B5B4B" w:rsidRDefault="00D87DBA" w:rsidP="00D87DBA">
      <w:pPr>
        <w:spacing w:line="360" w:lineRule="auto"/>
        <w:jc w:val="both"/>
        <w:rPr>
          <w:rFonts w:ascii="Times New Roman" w:hAnsi="Times New Roman" w:cs="Times New Roman"/>
          <w:sz w:val="24"/>
          <w:szCs w:val="24"/>
        </w:rPr>
      </w:pPr>
      <w:r w:rsidRPr="005B5B4B">
        <w:rPr>
          <w:rFonts w:ascii="Times New Roman" w:hAnsi="Times New Roman" w:cs="Times New Roman"/>
          <w:sz w:val="24"/>
          <w:szCs w:val="24"/>
        </w:rPr>
        <w:t>Table S1. Sensitivity analysis comparing adjusted incidence rate ratios (IRRs) from the primary survey-weighted quasi-Poisson model and alternative likelihood-based models</w:t>
      </w:r>
    </w:p>
    <w:tbl>
      <w:tblPr>
        <w:tblStyle w:val="PlainTable2"/>
        <w:tblW w:w="10206" w:type="dxa"/>
        <w:tblLook w:val="04A0" w:firstRow="1" w:lastRow="0" w:firstColumn="1" w:lastColumn="0" w:noHBand="0" w:noVBand="1"/>
      </w:tblPr>
      <w:tblGrid>
        <w:gridCol w:w="2181"/>
        <w:gridCol w:w="2788"/>
        <w:gridCol w:w="2969"/>
        <w:gridCol w:w="2268"/>
      </w:tblGrid>
      <w:tr w:rsidR="00D87DBA" w:rsidRPr="005B5B4B" w:rsidTr="00844F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sz w:val="24"/>
                <w:szCs w:val="24"/>
              </w:rPr>
            </w:pPr>
            <w:r w:rsidRPr="005B5B4B">
              <w:rPr>
                <w:rFonts w:ascii="Times New Roman" w:hAnsi="Times New Roman" w:cs="Times New Roman"/>
                <w:sz w:val="24"/>
                <w:szCs w:val="24"/>
              </w:rPr>
              <w:t>Variable</w:t>
            </w:r>
          </w:p>
        </w:tc>
        <w:tc>
          <w:tcPr>
            <w:tcW w:w="0" w:type="auto"/>
            <w:hideMark/>
          </w:tcPr>
          <w:p w:rsidR="00D87DBA" w:rsidRPr="005B5B4B" w:rsidRDefault="00D87DBA" w:rsidP="00844F1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Survey-weighted Quasi-Poisson (Primary) IRR</w:t>
            </w:r>
          </w:p>
        </w:tc>
        <w:tc>
          <w:tcPr>
            <w:tcW w:w="2969" w:type="dxa"/>
            <w:hideMark/>
          </w:tcPr>
          <w:p w:rsidR="00D87DBA" w:rsidRPr="005B5B4B" w:rsidRDefault="00D87DBA" w:rsidP="00844F1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Negative Binomial IRR</w:t>
            </w:r>
          </w:p>
        </w:tc>
        <w:tc>
          <w:tcPr>
            <w:tcW w:w="2268" w:type="dxa"/>
            <w:hideMark/>
          </w:tcPr>
          <w:p w:rsidR="00D87DBA" w:rsidRPr="005B5B4B" w:rsidRDefault="00D87DBA" w:rsidP="00844F1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Multilevel Negative Binomial IRR</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Amhara vs Tigray</w:t>
            </w:r>
          </w:p>
        </w:tc>
        <w:tc>
          <w:tcPr>
            <w:tcW w:w="0" w:type="auto"/>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1.73</w:t>
            </w:r>
          </w:p>
        </w:tc>
        <w:tc>
          <w:tcPr>
            <w:tcW w:w="2969"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1.72</w:t>
            </w:r>
          </w:p>
        </w:tc>
        <w:tc>
          <w:tcPr>
            <w:tcW w:w="2268"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1.73</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Oromia vs Tigray</w:t>
            </w:r>
          </w:p>
        </w:tc>
        <w:tc>
          <w:tcPr>
            <w:tcW w:w="0" w:type="auto"/>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1.58</w:t>
            </w:r>
          </w:p>
        </w:tc>
        <w:tc>
          <w:tcPr>
            <w:tcW w:w="2969"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1.74</w:t>
            </w:r>
          </w:p>
        </w:tc>
        <w:tc>
          <w:tcPr>
            <w:tcW w:w="2268"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1.71</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Somali vs Tigray</w:t>
            </w:r>
          </w:p>
        </w:tc>
        <w:tc>
          <w:tcPr>
            <w:tcW w:w="0" w:type="auto"/>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2.16</w:t>
            </w:r>
          </w:p>
        </w:tc>
        <w:tc>
          <w:tcPr>
            <w:tcW w:w="2969"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2.07</w:t>
            </w:r>
          </w:p>
        </w:tc>
        <w:tc>
          <w:tcPr>
            <w:tcW w:w="2268"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2.04</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Benishangul-</w:t>
            </w:r>
            <w:proofErr w:type="spellStart"/>
            <w:r w:rsidRPr="005B5B4B">
              <w:rPr>
                <w:rFonts w:ascii="Times New Roman" w:hAnsi="Times New Roman" w:cs="Times New Roman"/>
                <w:b w:val="0"/>
                <w:sz w:val="24"/>
                <w:szCs w:val="24"/>
              </w:rPr>
              <w:t>Gumuz</w:t>
            </w:r>
            <w:proofErr w:type="spellEnd"/>
            <w:r w:rsidRPr="005B5B4B">
              <w:rPr>
                <w:rFonts w:ascii="Times New Roman" w:hAnsi="Times New Roman" w:cs="Times New Roman"/>
                <w:b w:val="0"/>
                <w:sz w:val="24"/>
                <w:szCs w:val="24"/>
              </w:rPr>
              <w:t xml:space="preserve"> vs Tigray</w:t>
            </w:r>
          </w:p>
        </w:tc>
        <w:tc>
          <w:tcPr>
            <w:tcW w:w="0" w:type="auto"/>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1.96</w:t>
            </w:r>
          </w:p>
        </w:tc>
        <w:tc>
          <w:tcPr>
            <w:tcW w:w="2969"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2.12</w:t>
            </w:r>
          </w:p>
        </w:tc>
        <w:tc>
          <w:tcPr>
            <w:tcW w:w="2268"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2.09</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SNNPR vs Tigray</w:t>
            </w:r>
          </w:p>
        </w:tc>
        <w:tc>
          <w:tcPr>
            <w:tcW w:w="0" w:type="auto"/>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1.53</w:t>
            </w:r>
          </w:p>
        </w:tc>
        <w:tc>
          <w:tcPr>
            <w:tcW w:w="2969"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1.60</w:t>
            </w:r>
          </w:p>
        </w:tc>
        <w:tc>
          <w:tcPr>
            <w:tcW w:w="2268"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1.59</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Gambela vs Tigray</w:t>
            </w:r>
          </w:p>
        </w:tc>
        <w:tc>
          <w:tcPr>
            <w:tcW w:w="0" w:type="auto"/>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2.56</w:t>
            </w:r>
          </w:p>
        </w:tc>
        <w:tc>
          <w:tcPr>
            <w:tcW w:w="2969"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2.51</w:t>
            </w:r>
          </w:p>
        </w:tc>
        <w:tc>
          <w:tcPr>
            <w:tcW w:w="2268"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2.60</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Dire Dawa vs Tigray</w:t>
            </w:r>
          </w:p>
        </w:tc>
        <w:tc>
          <w:tcPr>
            <w:tcW w:w="0" w:type="auto"/>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2.09</w:t>
            </w:r>
          </w:p>
        </w:tc>
        <w:tc>
          <w:tcPr>
            <w:tcW w:w="2969"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1.88</w:t>
            </w:r>
          </w:p>
        </w:tc>
        <w:tc>
          <w:tcPr>
            <w:tcW w:w="2268"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1.84</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Maternal age (per year)</w:t>
            </w:r>
          </w:p>
        </w:tc>
        <w:tc>
          <w:tcPr>
            <w:tcW w:w="0" w:type="auto"/>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1.02</w:t>
            </w:r>
          </w:p>
        </w:tc>
        <w:tc>
          <w:tcPr>
            <w:tcW w:w="2969"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1.04</w:t>
            </w:r>
          </w:p>
        </w:tc>
        <w:tc>
          <w:tcPr>
            <w:tcW w:w="2268" w:type="dxa"/>
            <w:hideMark/>
          </w:tcPr>
          <w:p w:rsidR="00D87DBA" w:rsidRPr="005B5B4B" w:rsidRDefault="00D87DBA" w:rsidP="00844F1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1.04</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Birth interval &lt;24 months</w:t>
            </w:r>
          </w:p>
        </w:tc>
        <w:tc>
          <w:tcPr>
            <w:tcW w:w="0" w:type="auto"/>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bCs/>
                <w:sz w:val="24"/>
                <w:szCs w:val="24"/>
              </w:rPr>
              <w:t>1.56</w:t>
            </w:r>
          </w:p>
        </w:tc>
        <w:tc>
          <w:tcPr>
            <w:tcW w:w="2969"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1.71</w:t>
            </w:r>
          </w:p>
        </w:tc>
        <w:tc>
          <w:tcPr>
            <w:tcW w:w="2268" w:type="dxa"/>
            <w:hideMark/>
          </w:tcPr>
          <w:p w:rsidR="00D87DBA" w:rsidRPr="005B5B4B"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1.72</w:t>
            </w:r>
          </w:p>
        </w:tc>
      </w:tr>
    </w:tbl>
    <w:p w:rsidR="00D87DBA" w:rsidRDefault="00D87DBA" w:rsidP="00D87DBA">
      <w:pPr>
        <w:rPr>
          <w:b/>
          <w:bCs/>
        </w:rPr>
      </w:pPr>
    </w:p>
    <w:p w:rsidR="00D87DBA" w:rsidRPr="005B5B4B" w:rsidRDefault="00D87DBA" w:rsidP="00D87DBA">
      <w:pPr>
        <w:jc w:val="both"/>
        <w:rPr>
          <w:rFonts w:ascii="Times New Roman" w:hAnsi="Times New Roman" w:cs="Times New Roman"/>
          <w:b/>
          <w:bCs/>
          <w:sz w:val="24"/>
          <w:szCs w:val="24"/>
        </w:rPr>
      </w:pPr>
      <w:r w:rsidRPr="005B5B4B">
        <w:rPr>
          <w:rFonts w:ascii="Times New Roman" w:hAnsi="Times New Roman" w:cs="Times New Roman"/>
          <w:b/>
          <w:bCs/>
          <w:sz w:val="24"/>
          <w:szCs w:val="24"/>
        </w:rPr>
        <w:t>Variables significant only in one model</w:t>
      </w:r>
    </w:p>
    <w:tbl>
      <w:tblPr>
        <w:tblStyle w:val="PlainTable2"/>
        <w:tblW w:w="0" w:type="auto"/>
        <w:tblLook w:val="04A0" w:firstRow="1" w:lastRow="0" w:firstColumn="1" w:lastColumn="0" w:noHBand="0" w:noVBand="1"/>
      </w:tblPr>
      <w:tblGrid>
        <w:gridCol w:w="2930"/>
        <w:gridCol w:w="3790"/>
        <w:gridCol w:w="1183"/>
      </w:tblGrid>
      <w:tr w:rsidR="00D87DBA" w:rsidRPr="005B5B4B" w:rsidTr="00844F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sz w:val="24"/>
                <w:szCs w:val="24"/>
              </w:rPr>
            </w:pPr>
            <w:r w:rsidRPr="005B5B4B">
              <w:rPr>
                <w:rFonts w:ascii="Times New Roman" w:hAnsi="Times New Roman" w:cs="Times New Roman"/>
                <w:sz w:val="24"/>
                <w:szCs w:val="24"/>
              </w:rPr>
              <w:t>Variable</w:t>
            </w:r>
          </w:p>
        </w:tc>
        <w:tc>
          <w:tcPr>
            <w:tcW w:w="0" w:type="auto"/>
            <w:hideMark/>
          </w:tcPr>
          <w:p w:rsidR="00D87DBA" w:rsidRPr="005B5B4B" w:rsidRDefault="00D87DBA" w:rsidP="00844F1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Significant model(s)</w:t>
            </w:r>
          </w:p>
        </w:tc>
        <w:tc>
          <w:tcPr>
            <w:tcW w:w="0" w:type="auto"/>
            <w:hideMark/>
          </w:tcPr>
          <w:p w:rsidR="00D87DBA" w:rsidRPr="005B5B4B" w:rsidRDefault="00D87DBA" w:rsidP="00844F1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IRR</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Higher education</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Survey-weighted Quasi-Poisson only</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0.42</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Other public facility</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Survey-weighted Quasi-Poisson only</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5.13</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Private hospital</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Survey-weighted Quasi-Poisson only</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0.20</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NGO facility</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Survey-weighted Quasi-Poisson only</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0.36</w:t>
            </w:r>
          </w:p>
        </w:tc>
      </w:tr>
      <w:tr w:rsidR="00D87DBA" w:rsidRPr="005B5B4B"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Harari region</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NB and Multilevel NB only</w:t>
            </w:r>
          </w:p>
        </w:tc>
        <w:tc>
          <w:tcPr>
            <w:tcW w:w="0" w:type="auto"/>
            <w:hideMark/>
          </w:tcPr>
          <w:p w:rsidR="00D87DBA" w:rsidRPr="005B5B4B" w:rsidRDefault="00D87DBA" w:rsidP="00844F1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1.65; 1.70</w:t>
            </w:r>
          </w:p>
        </w:tc>
      </w:tr>
      <w:tr w:rsidR="00D87DBA" w:rsidRPr="005B5B4B" w:rsidTr="00844F11">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jc w:val="both"/>
              <w:rPr>
                <w:rFonts w:ascii="Times New Roman" w:hAnsi="Times New Roman" w:cs="Times New Roman"/>
                <w:b w:val="0"/>
                <w:sz w:val="24"/>
                <w:szCs w:val="24"/>
              </w:rPr>
            </w:pPr>
            <w:r w:rsidRPr="005B5B4B">
              <w:rPr>
                <w:rFonts w:ascii="Times New Roman" w:hAnsi="Times New Roman" w:cs="Times New Roman"/>
                <w:b w:val="0"/>
                <w:sz w:val="24"/>
                <w:szCs w:val="24"/>
              </w:rPr>
              <w:t>Birth interval 24–35 months</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NB and Multilevel NB only</w:t>
            </w:r>
          </w:p>
        </w:tc>
        <w:tc>
          <w:tcPr>
            <w:tcW w:w="0" w:type="auto"/>
            <w:hideMark/>
          </w:tcPr>
          <w:p w:rsidR="00D87DBA" w:rsidRPr="005B5B4B" w:rsidRDefault="00D87DBA" w:rsidP="00844F1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5B4B">
              <w:rPr>
                <w:rFonts w:ascii="Times New Roman" w:hAnsi="Times New Roman" w:cs="Times New Roman"/>
                <w:sz w:val="24"/>
                <w:szCs w:val="24"/>
              </w:rPr>
              <w:t>1.21; 1.21</w:t>
            </w:r>
          </w:p>
        </w:tc>
      </w:tr>
      <w:tr w:rsidR="00D87DBA" w:rsidRPr="00813077" w:rsidTr="00844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87DBA" w:rsidRPr="005B5B4B" w:rsidRDefault="00D87DBA" w:rsidP="00844F11">
            <w:pPr>
              <w:spacing w:line="360" w:lineRule="auto"/>
              <w:rPr>
                <w:rFonts w:ascii="Times New Roman" w:hAnsi="Times New Roman" w:cs="Times New Roman"/>
                <w:b w:val="0"/>
                <w:sz w:val="24"/>
                <w:szCs w:val="24"/>
              </w:rPr>
            </w:pPr>
            <w:r w:rsidRPr="005B5B4B">
              <w:rPr>
                <w:rFonts w:ascii="Times New Roman" w:hAnsi="Times New Roman" w:cs="Times New Roman"/>
                <w:b w:val="0"/>
                <w:sz w:val="24"/>
                <w:szCs w:val="24"/>
              </w:rPr>
              <w:t>Private clinic</w:t>
            </w:r>
          </w:p>
        </w:tc>
        <w:tc>
          <w:tcPr>
            <w:tcW w:w="0" w:type="auto"/>
            <w:hideMark/>
          </w:tcPr>
          <w:p w:rsidR="00D87DBA" w:rsidRPr="00813077"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pPr>
            <w:r w:rsidRPr="00813077">
              <w:t>NB and Multilevel NB only</w:t>
            </w:r>
          </w:p>
        </w:tc>
        <w:tc>
          <w:tcPr>
            <w:tcW w:w="0" w:type="auto"/>
            <w:hideMark/>
          </w:tcPr>
          <w:p w:rsidR="00D87DBA" w:rsidRPr="00813077" w:rsidRDefault="00D87DBA" w:rsidP="00844F11">
            <w:pPr>
              <w:spacing w:line="360" w:lineRule="auto"/>
              <w:cnfStyle w:val="000000100000" w:firstRow="0" w:lastRow="0" w:firstColumn="0" w:lastColumn="0" w:oddVBand="0" w:evenVBand="0" w:oddHBand="1" w:evenHBand="0" w:firstRowFirstColumn="0" w:firstRowLastColumn="0" w:lastRowFirstColumn="0" w:lastRowLastColumn="0"/>
            </w:pPr>
            <w:r w:rsidRPr="00813077">
              <w:t>2.97; 2.82</w:t>
            </w:r>
          </w:p>
        </w:tc>
      </w:tr>
    </w:tbl>
    <w:p w:rsidR="00D87DBA" w:rsidRPr="00813077" w:rsidRDefault="00D87DBA" w:rsidP="00D87DBA"/>
    <w:p w:rsidR="00D87DBA" w:rsidRPr="005B5B4B" w:rsidRDefault="00D87DBA" w:rsidP="00D87DBA">
      <w:pPr>
        <w:spacing w:line="360" w:lineRule="auto"/>
        <w:jc w:val="both"/>
        <w:rPr>
          <w:rFonts w:ascii="Times New Roman" w:hAnsi="Times New Roman" w:cs="Times New Roman"/>
          <w:sz w:val="24"/>
          <w:szCs w:val="24"/>
        </w:rPr>
      </w:pPr>
      <w:r w:rsidRPr="005B5B4B">
        <w:rPr>
          <w:rFonts w:ascii="Times New Roman" w:hAnsi="Times New Roman" w:cs="Times New Roman"/>
          <w:b/>
          <w:bCs/>
          <w:sz w:val="24"/>
          <w:szCs w:val="24"/>
        </w:rPr>
        <w:lastRenderedPageBreak/>
        <w:t>Abbreviations:</w:t>
      </w:r>
      <w:r w:rsidRPr="005B5B4B">
        <w:rPr>
          <w:rFonts w:ascii="Times New Roman" w:hAnsi="Times New Roman" w:cs="Times New Roman"/>
          <w:sz w:val="24"/>
          <w:szCs w:val="24"/>
        </w:rPr>
        <w:t xml:space="preserve"> IRR, adjusted incidence rate ratio; NB, negative binomial. Only covariates statistically significant (</w:t>
      </w:r>
      <w:r w:rsidRPr="005B5B4B">
        <w:rPr>
          <w:rFonts w:ascii="Times New Roman" w:hAnsi="Times New Roman" w:cs="Times New Roman"/>
          <w:i/>
          <w:iCs/>
          <w:sz w:val="24"/>
          <w:szCs w:val="24"/>
        </w:rPr>
        <w:t>p</w:t>
      </w:r>
      <w:r w:rsidRPr="005B5B4B">
        <w:rPr>
          <w:rFonts w:ascii="Times New Roman" w:hAnsi="Times New Roman" w:cs="Times New Roman"/>
          <w:sz w:val="24"/>
          <w:szCs w:val="24"/>
        </w:rPr>
        <w:t xml:space="preserve"> &lt; 0.05) in at least one fitted model are presented. The survey-weighted quasi-Poisson model was retained as the primary model because it accounts for the DHS complex sampling design, whereas the negative binomial and multilevel negative binomial models were fitted as sensitivity analyses to assess the robustness of the findings.</w:t>
      </w:r>
    </w:p>
    <w:p w:rsidR="00BD5FAB" w:rsidRDefault="00D87DBA"/>
    <w:sectPr w:rsidR="00BD5F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BA"/>
    <w:rsid w:val="00163D3C"/>
    <w:rsid w:val="00194CCE"/>
    <w:rsid w:val="0023797A"/>
    <w:rsid w:val="00363AA0"/>
    <w:rsid w:val="003A313F"/>
    <w:rsid w:val="005E66FF"/>
    <w:rsid w:val="005F38E8"/>
    <w:rsid w:val="00690456"/>
    <w:rsid w:val="007833B9"/>
    <w:rsid w:val="007A7FBC"/>
    <w:rsid w:val="00CE1B19"/>
    <w:rsid w:val="00D64501"/>
    <w:rsid w:val="00D87DBA"/>
    <w:rsid w:val="00DE1EB1"/>
    <w:rsid w:val="00EB6F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FEE52-BB9F-4326-BE06-011B7C50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7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D87DB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1540</Characters>
  <Application>Microsoft Office Word</Application>
  <DocSecurity>0</DocSecurity>
  <Lines>12</Lines>
  <Paragraphs>3</Paragraphs>
  <ScaleCrop>false</ScaleCrop>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2026-07-07T07:48:00Z</dcterms:created>
  <dcterms:modified xsi:type="dcterms:W3CDTF">2026-07-07T07:48:00Z</dcterms:modified>
</cp:coreProperties>
</file>