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552" w:rsidRPr="00A44552" w:rsidRDefault="00A44552" w:rsidP="00A44552">
      <w:pPr>
        <w:spacing w:line="480" w:lineRule="auto"/>
        <w:rPr>
          <w:rFonts w:ascii="Times New Roman" w:hAnsi="Times New Roman" w:cs="Times New Roman"/>
          <w:bCs/>
          <w:sz w:val="24"/>
          <w:szCs w:val="24"/>
        </w:rPr>
      </w:pPr>
      <w:r w:rsidRPr="00A44552">
        <w:rPr>
          <w:rFonts w:ascii="Times New Roman" w:hAnsi="Times New Roman" w:cs="Times New Roman"/>
          <w:b/>
          <w:bCs/>
          <w:sz w:val="24"/>
          <w:szCs w:val="24"/>
        </w:rPr>
        <w:t xml:space="preserve"> </w:t>
      </w:r>
      <w:r>
        <w:rPr>
          <w:rFonts w:ascii="Times New Roman" w:hAnsi="Times New Roman" w:cs="Times New Roman"/>
          <w:b/>
          <w:bCs/>
          <w:sz w:val="24"/>
          <w:szCs w:val="24"/>
        </w:rPr>
        <w:tab/>
      </w:r>
      <w:r w:rsidRPr="00A44552">
        <w:rPr>
          <w:rFonts w:ascii="Times New Roman" w:hAnsi="Times New Roman" w:cs="Times New Roman"/>
          <w:b/>
          <w:bCs/>
          <w:sz w:val="24"/>
          <w:szCs w:val="24"/>
        </w:rPr>
        <w:t>Table S1</w:t>
      </w:r>
      <w:r w:rsidRPr="00A44552">
        <w:rPr>
          <w:rFonts w:ascii="Times New Roman" w:hAnsi="Times New Roman" w:cs="Times New Roman"/>
          <w:bCs/>
          <w:sz w:val="24"/>
          <w:szCs w:val="24"/>
        </w:rPr>
        <w:t xml:space="preserve"> compares the characteristics of medically circumcised men who were excluded from the matched pseudo-cohort (n = 425) with those included in the final analytic sample (n = 3,203). Included men were significantly older at the time of interview (mean 27.5 years, SD 10.46) than excluded men (mean 20.9 years, SD 3.41) (p &lt; 0.001). They also had a higher mean age at circumcision (16.4 vs 14.5 years; p = 0.003) and a longer potential follow-up time since circumcision (11.10 vs 6.44 years; p &lt; 0.001). No statistically significant differences were observed between included and excluded men in terms of provincial distribution (p = 0.534), residence (urban vs rural; p = 0.875), religion (p = 0.601), or household wealth quintile (p = 0.878). However, educational attainment differed significantly between groups (p &lt; 0.001), with a higher proportion of included men reporting higher education (12.7%) compared with excluded men (4.9%), while secondary education was more common among excluded men (66.8% vs 56.3%)</w:t>
      </w:r>
      <w:r w:rsidR="00622B61">
        <w:rPr>
          <w:rFonts w:ascii="Times New Roman" w:hAnsi="Times New Roman" w:cs="Times New Roman"/>
          <w:bCs/>
          <w:sz w:val="24"/>
          <w:szCs w:val="24"/>
        </w:rPr>
        <w:t>.</w:t>
      </w:r>
      <w:r>
        <w:rPr>
          <w:rFonts w:ascii="Times New Roman" w:hAnsi="Times New Roman" w:cs="Times New Roman"/>
          <w:bCs/>
          <w:sz w:val="24"/>
          <w:szCs w:val="24"/>
        </w:rPr>
        <w:tab/>
      </w:r>
    </w:p>
    <w:p w:rsidR="00851294" w:rsidRPr="0083615F" w:rsidRDefault="00851294" w:rsidP="00277B3A">
      <w:pPr>
        <w:spacing w:line="480" w:lineRule="auto"/>
        <w:rPr>
          <w:rFonts w:ascii="Times New Roman" w:hAnsi="Times New Roman" w:cs="Times New Roman"/>
          <w:b/>
          <w:bCs/>
          <w:sz w:val="24"/>
          <w:szCs w:val="24"/>
        </w:rPr>
      </w:pPr>
      <w:r w:rsidRPr="0083615F">
        <w:rPr>
          <w:rFonts w:ascii="Times New Roman" w:hAnsi="Times New Roman" w:cs="Times New Roman"/>
          <w:b/>
          <w:bCs/>
          <w:sz w:val="24"/>
          <w:szCs w:val="24"/>
        </w:rPr>
        <w:t>Table S1. Comparison of medically circumcised men included and excluded from the matched pseudo-cohort</w:t>
      </w:r>
    </w:p>
    <w:tbl>
      <w:tblPr>
        <w:tblStyle w:val="PlainTable4"/>
        <w:tblW w:w="0" w:type="auto"/>
        <w:tblLook w:val="04A0" w:firstRow="1" w:lastRow="0" w:firstColumn="1" w:lastColumn="0" w:noHBand="0" w:noVBand="1"/>
      </w:tblPr>
      <w:tblGrid>
        <w:gridCol w:w="4656"/>
        <w:gridCol w:w="1276"/>
        <w:gridCol w:w="1396"/>
        <w:gridCol w:w="990"/>
      </w:tblGrid>
      <w:tr w:rsidR="00851294" w:rsidRPr="0083615F" w:rsidTr="007B6B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Characteristic</w:t>
            </w:r>
          </w:p>
        </w:tc>
        <w:tc>
          <w:tcPr>
            <w:tcW w:w="0" w:type="auto"/>
            <w:tcBorders>
              <w:top w:val="single" w:sz="4" w:space="0" w:color="auto"/>
              <w:bottom w:val="single" w:sz="4" w:space="0" w:color="auto"/>
            </w:tcBorders>
            <w:hideMark/>
          </w:tcPr>
          <w:p w:rsidR="00851294" w:rsidRPr="0083615F" w:rsidRDefault="00851294" w:rsidP="0083615F">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 xml:space="preserve">Excluded </w:t>
            </w:r>
          </w:p>
        </w:tc>
        <w:tc>
          <w:tcPr>
            <w:tcW w:w="0" w:type="auto"/>
            <w:tcBorders>
              <w:top w:val="single" w:sz="4" w:space="0" w:color="auto"/>
              <w:bottom w:val="single" w:sz="4" w:space="0" w:color="auto"/>
            </w:tcBorders>
            <w:hideMark/>
          </w:tcPr>
          <w:p w:rsidR="00851294" w:rsidRPr="0083615F" w:rsidRDefault="00851294" w:rsidP="0083615F">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 xml:space="preserve">Included </w:t>
            </w:r>
          </w:p>
        </w:tc>
        <w:tc>
          <w:tcPr>
            <w:tcW w:w="0" w:type="auto"/>
            <w:tcBorders>
              <w:top w:val="single" w:sz="4" w:space="0" w:color="auto"/>
              <w:bottom w:val="single" w:sz="4" w:space="0" w:color="auto"/>
            </w:tcBorders>
            <w:hideMark/>
          </w:tcPr>
          <w:p w:rsidR="00851294" w:rsidRPr="0083615F" w:rsidRDefault="00851294" w:rsidP="0085129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P-value</w:t>
            </w: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rsidR="00851294" w:rsidRPr="0083615F" w:rsidRDefault="00851294" w:rsidP="00851294">
            <w:pPr>
              <w:rPr>
                <w:rFonts w:ascii="Times New Roman" w:hAnsi="Times New Roman" w:cs="Times New Roman"/>
                <w:b w:val="0"/>
                <w:bCs w:val="0"/>
                <w:sz w:val="24"/>
                <w:szCs w:val="24"/>
              </w:rPr>
            </w:pPr>
          </w:p>
        </w:tc>
        <w:tc>
          <w:tcPr>
            <w:tcW w:w="0" w:type="auto"/>
            <w:tcBorders>
              <w:top w:val="single" w:sz="4" w:space="0" w:color="auto"/>
            </w:tcBorders>
          </w:tcPr>
          <w:p w:rsidR="00851294" w:rsidRPr="0083615F" w:rsidRDefault="00851294" w:rsidP="008512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b/>
                <w:bCs/>
                <w:sz w:val="24"/>
                <w:szCs w:val="24"/>
              </w:rPr>
              <w:t>(n = 425)</w:t>
            </w:r>
          </w:p>
        </w:tc>
        <w:tc>
          <w:tcPr>
            <w:tcW w:w="0" w:type="auto"/>
            <w:tcBorders>
              <w:top w:val="single" w:sz="4" w:space="0" w:color="auto"/>
            </w:tcBorders>
          </w:tcPr>
          <w:p w:rsidR="00851294" w:rsidRPr="0083615F" w:rsidRDefault="00851294" w:rsidP="008512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b/>
                <w:bCs/>
                <w:sz w:val="24"/>
                <w:szCs w:val="24"/>
              </w:rPr>
              <w:t>(n = 3203)</w:t>
            </w:r>
          </w:p>
        </w:tc>
        <w:tc>
          <w:tcPr>
            <w:tcW w:w="0" w:type="auto"/>
            <w:tcBorders>
              <w:top w:val="single" w:sz="4" w:space="0" w:color="auto"/>
            </w:tcBorders>
          </w:tcPr>
          <w:p w:rsidR="00851294" w:rsidRPr="0083615F" w:rsidRDefault="00851294" w:rsidP="0085129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Continuous variables</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Current age at interview, mean (SD)</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20.9 (3.41)</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27.5 (10.46)</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&lt;0.001</w:t>
            </w: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Age at circumcision, mean (SD)</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14.5 (4.39)</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16.4 (7.86)</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0.003</w:t>
            </w: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Potential follow-up time (years), mean (SD)</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6.44 (4.43)</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11.10 (9.21)</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&lt;0.001</w:t>
            </w: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Region, n (%)</w:t>
            </w: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0.534</w:t>
            </w: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Central</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45 (10.6)</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303 (9.5)</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proofErr w:type="spellStart"/>
            <w:r w:rsidRPr="0083615F">
              <w:rPr>
                <w:rFonts w:ascii="Times New Roman" w:hAnsi="Times New Roman" w:cs="Times New Roman"/>
                <w:sz w:val="24"/>
                <w:szCs w:val="24"/>
              </w:rPr>
              <w:t>Copperbelt</w:t>
            </w:r>
            <w:proofErr w:type="spellEnd"/>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64 (15.1)</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459 (14.3)</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Eastern</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38 (8.9)</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204 (6.4)</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proofErr w:type="spellStart"/>
            <w:r w:rsidRPr="0083615F">
              <w:rPr>
                <w:rFonts w:ascii="Times New Roman" w:hAnsi="Times New Roman" w:cs="Times New Roman"/>
                <w:sz w:val="24"/>
                <w:szCs w:val="24"/>
              </w:rPr>
              <w:t>Luapula</w:t>
            </w:r>
            <w:proofErr w:type="spellEnd"/>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38 (8.9)</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339 (10.6)</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lastRenderedPageBreak/>
              <w:t>Lusaka</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53 (12.5)</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375 (11.7)</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proofErr w:type="spellStart"/>
            <w:r w:rsidRPr="0083615F">
              <w:rPr>
                <w:rFonts w:ascii="Times New Roman" w:hAnsi="Times New Roman" w:cs="Times New Roman"/>
                <w:sz w:val="24"/>
                <w:szCs w:val="24"/>
              </w:rPr>
              <w:t>Muchinga</w:t>
            </w:r>
            <w:proofErr w:type="spellEnd"/>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18 (4.2)</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182 (5.7)</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Northern</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25 (5.9)</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177 (5.5)</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North-Western</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37 (8.7)</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327 (10.2)</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Southern</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43 (10.1)</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336 (10.5)</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Western</w:t>
            </w:r>
          </w:p>
        </w:tc>
        <w:tc>
          <w:tcPr>
            <w:tcW w:w="0" w:type="auto"/>
            <w:tcBorders>
              <w:bottom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64 (15.1)</w:t>
            </w:r>
          </w:p>
        </w:tc>
        <w:tc>
          <w:tcPr>
            <w:tcW w:w="0" w:type="auto"/>
            <w:tcBorders>
              <w:bottom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501 (15.6)</w:t>
            </w:r>
          </w:p>
        </w:tc>
        <w:tc>
          <w:tcPr>
            <w:tcW w:w="0" w:type="auto"/>
            <w:tcBorders>
              <w:bottom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Residence, n (%)</w:t>
            </w:r>
          </w:p>
        </w:tc>
        <w:tc>
          <w:tcPr>
            <w:tcW w:w="0" w:type="auto"/>
            <w:tcBorders>
              <w:top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0.875</w:t>
            </w: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Urban</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218 (51.3)</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1656 (51.7)</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Rural</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207 (48.7)</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1547 (48.3)</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Education level, n (%)</w:t>
            </w: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&lt;0.001</w:t>
            </w: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No education</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 (0.7)</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75 (2.3)</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Primary</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117 (27.5)</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916 (28.6)</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Secondary</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284 (66.8)</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1804 (56.3)</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Higher</w:t>
            </w:r>
          </w:p>
        </w:tc>
        <w:tc>
          <w:tcPr>
            <w:tcW w:w="0" w:type="auto"/>
            <w:tcBorders>
              <w:bottom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21 (4.9)</w:t>
            </w:r>
          </w:p>
        </w:tc>
        <w:tc>
          <w:tcPr>
            <w:tcW w:w="0" w:type="auto"/>
            <w:tcBorders>
              <w:bottom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408 (12.7)</w:t>
            </w:r>
          </w:p>
        </w:tc>
        <w:tc>
          <w:tcPr>
            <w:tcW w:w="0" w:type="auto"/>
            <w:tcBorders>
              <w:bottom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Religion, n (%)</w:t>
            </w:r>
          </w:p>
        </w:tc>
        <w:tc>
          <w:tcPr>
            <w:tcW w:w="0" w:type="auto"/>
            <w:tcBorders>
              <w:top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0.601</w:t>
            </w: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Catholic</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55 (12.9)</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454 (14.2)</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Protestant</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364 (85.6)</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2698 (84.2)</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Muslim</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4 (0.9)</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21 (0.7)</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Other</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2 (0.5)</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30 (0.9)</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Wealth quintile, n (%)</w:t>
            </w: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tcBorders>
              <w:top w:val="single" w:sz="4" w:space="0" w:color="auto"/>
            </w:tcBorders>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0.878</w:t>
            </w: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Poorest</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74 (17.4)</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504 (15.7)</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851294">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Poorer</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65 (15.3)</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511 (16.0)</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8512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Middle</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83 (19.5)</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640 (20.0)</w:t>
            </w:r>
          </w:p>
        </w:tc>
        <w:tc>
          <w:tcPr>
            <w:tcW w:w="0" w:type="auto"/>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1294" w:rsidRPr="0083615F" w:rsidTr="007B6B3F">
        <w:tc>
          <w:tcPr>
            <w:cnfStyle w:val="001000000000" w:firstRow="0" w:lastRow="0" w:firstColumn="1" w:lastColumn="0" w:oddVBand="0" w:evenVBand="0" w:oddHBand="0" w:evenHBand="0" w:firstRowFirstColumn="0" w:firstRowLastColumn="0" w:lastRowFirstColumn="0" w:lastRowLastColumn="0"/>
            <w:tcW w:w="0" w:type="auto"/>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Richer</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89 (20.9)</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714 (22.3)</w:t>
            </w:r>
          </w:p>
        </w:tc>
        <w:tc>
          <w:tcPr>
            <w:tcW w:w="0" w:type="auto"/>
            <w:hideMark/>
          </w:tcPr>
          <w:p w:rsidR="00851294" w:rsidRPr="0083615F" w:rsidRDefault="00851294" w:rsidP="0085129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1294" w:rsidRPr="0083615F" w:rsidTr="007B6B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rsidR="00851294" w:rsidRPr="0083615F" w:rsidRDefault="00851294" w:rsidP="00851294">
            <w:pPr>
              <w:spacing w:after="160" w:line="259" w:lineRule="auto"/>
              <w:rPr>
                <w:rFonts w:ascii="Times New Roman" w:hAnsi="Times New Roman" w:cs="Times New Roman"/>
                <w:sz w:val="24"/>
                <w:szCs w:val="24"/>
              </w:rPr>
            </w:pPr>
            <w:r w:rsidRPr="0083615F">
              <w:rPr>
                <w:rFonts w:ascii="Times New Roman" w:hAnsi="Times New Roman" w:cs="Times New Roman"/>
                <w:sz w:val="24"/>
                <w:szCs w:val="24"/>
              </w:rPr>
              <w:t>Richest</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114 (26.8)</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3615F">
              <w:rPr>
                <w:rFonts w:ascii="Times New Roman" w:hAnsi="Times New Roman" w:cs="Times New Roman"/>
                <w:sz w:val="24"/>
                <w:szCs w:val="24"/>
              </w:rPr>
              <w:t>834 (26.0)</w:t>
            </w:r>
          </w:p>
        </w:tc>
        <w:tc>
          <w:tcPr>
            <w:tcW w:w="0" w:type="auto"/>
            <w:tcBorders>
              <w:bottom w:val="single" w:sz="4" w:space="0" w:color="auto"/>
            </w:tcBorders>
            <w:hideMark/>
          </w:tcPr>
          <w:p w:rsidR="00851294" w:rsidRPr="0083615F" w:rsidRDefault="00851294" w:rsidP="00851294">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E96520" w:rsidRDefault="00E96520">
      <w:pPr>
        <w:rPr>
          <w:rFonts w:ascii="Times New Roman" w:hAnsi="Times New Roman" w:cs="Times New Roman"/>
          <w:sz w:val="24"/>
          <w:szCs w:val="24"/>
        </w:rPr>
      </w:pPr>
    </w:p>
    <w:p w:rsidR="00622B61" w:rsidRPr="00A44552" w:rsidRDefault="00277B3A" w:rsidP="00622B61">
      <w:pPr>
        <w:spacing w:line="480" w:lineRule="auto"/>
        <w:rPr>
          <w:rFonts w:ascii="Times New Roman" w:hAnsi="Times New Roman" w:cs="Times New Roman"/>
          <w:bCs/>
          <w:sz w:val="24"/>
          <w:szCs w:val="24"/>
        </w:rPr>
      </w:pPr>
      <w:r>
        <w:rPr>
          <w:rFonts w:ascii="Times New Roman" w:hAnsi="Times New Roman" w:cs="Times New Roman"/>
          <w:bCs/>
          <w:sz w:val="24"/>
          <w:szCs w:val="24"/>
        </w:rPr>
        <w:tab/>
      </w:r>
      <w:bookmarkStart w:id="0" w:name="_GoBack"/>
      <w:r w:rsidR="00622B61" w:rsidRPr="00A44552">
        <w:rPr>
          <w:rFonts w:ascii="Times New Roman" w:hAnsi="Times New Roman" w:cs="Times New Roman"/>
          <w:bCs/>
          <w:sz w:val="24"/>
          <w:szCs w:val="24"/>
        </w:rPr>
        <w:t xml:space="preserve">Overall, the differences observed between included and excluded circumcised men were primarily related to age and time since circumcision, reflecting the structural requirements of the </w:t>
      </w:r>
      <w:r w:rsidR="00622B61" w:rsidRPr="00A44552">
        <w:rPr>
          <w:rFonts w:ascii="Times New Roman" w:hAnsi="Times New Roman" w:cs="Times New Roman"/>
          <w:bCs/>
          <w:sz w:val="24"/>
          <w:szCs w:val="24"/>
        </w:rPr>
        <w:lastRenderedPageBreak/>
        <w:t>pseudo-cohort design rather than systematic demographic selection. Because matching was performed on current age and the analysis required sufficient follow-up time after circumcision, younger men and those circumcised more recently were more likely to be excluded. This age-based exclusion also helps explain the observed difference in educational attainment. Men retained in the analytic cohort were older on average and therefore had had more time to complete higher levels of education, while younger excluded men were more likely to still be within or closer to secondary schooling. Consistent with this interpretation, the distributions of province, residence, religion, and household wealth were similar between included and excluded men, indicating that the exclusions were not strongly associated with geographic or socioeconomic characteristics. Taken together, these findings suggest that the observed differences, including those in education, largely reflect the age-dependent structure of the matching procedure rather than systematic socioeconomic selection.</w:t>
      </w:r>
      <w:bookmarkEnd w:id="0"/>
    </w:p>
    <w:p w:rsidR="00622B61" w:rsidRPr="0083615F" w:rsidRDefault="00622B61">
      <w:pPr>
        <w:rPr>
          <w:rFonts w:ascii="Times New Roman" w:hAnsi="Times New Roman" w:cs="Times New Roman"/>
          <w:sz w:val="24"/>
          <w:szCs w:val="24"/>
        </w:rPr>
      </w:pPr>
    </w:p>
    <w:sectPr w:rsidR="00622B61" w:rsidRPr="008361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294"/>
    <w:rsid w:val="00277B3A"/>
    <w:rsid w:val="00622B61"/>
    <w:rsid w:val="00746DC5"/>
    <w:rsid w:val="007B6B3F"/>
    <w:rsid w:val="007C23A7"/>
    <w:rsid w:val="0083615F"/>
    <w:rsid w:val="00851294"/>
    <w:rsid w:val="00A44552"/>
    <w:rsid w:val="00B1518B"/>
    <w:rsid w:val="00E96520"/>
    <w:rsid w:val="00EA2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5B707-B05A-4A94-87C3-A37774BF6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8512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368405">
      <w:bodyDiv w:val="1"/>
      <w:marLeft w:val="0"/>
      <w:marRight w:val="0"/>
      <w:marTop w:val="0"/>
      <w:marBottom w:val="0"/>
      <w:divBdr>
        <w:top w:val="none" w:sz="0" w:space="0" w:color="auto"/>
        <w:left w:val="none" w:sz="0" w:space="0" w:color="auto"/>
        <w:bottom w:val="none" w:sz="0" w:space="0" w:color="auto"/>
        <w:right w:val="none" w:sz="0" w:space="0" w:color="auto"/>
      </w:divBdr>
      <w:divsChild>
        <w:div w:id="801196785">
          <w:marLeft w:val="0"/>
          <w:marRight w:val="0"/>
          <w:marTop w:val="0"/>
          <w:marBottom w:val="0"/>
          <w:divBdr>
            <w:top w:val="none" w:sz="0" w:space="0" w:color="auto"/>
            <w:left w:val="none" w:sz="0" w:space="0" w:color="auto"/>
            <w:bottom w:val="none" w:sz="0" w:space="0" w:color="auto"/>
            <w:right w:val="none" w:sz="0" w:space="0" w:color="auto"/>
          </w:divBdr>
          <w:divsChild>
            <w:div w:id="164249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dchampo@hotmail.com</dc:creator>
  <cp:keywords/>
  <dc:description/>
  <cp:lastModifiedBy>dchampo@hotmail.com</cp:lastModifiedBy>
  <cp:revision>2</cp:revision>
  <dcterms:created xsi:type="dcterms:W3CDTF">2026-04-06T08:06:00Z</dcterms:created>
  <dcterms:modified xsi:type="dcterms:W3CDTF">2026-04-06T08:06:00Z</dcterms:modified>
</cp:coreProperties>
</file>