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CEF20" w14:textId="00D22FF1" w:rsidR="000208BD" w:rsidRPr="000208BD" w:rsidRDefault="000208BD">
      <w:pPr>
        <w:rPr>
          <w:b/>
          <w:lang w:val="en-US"/>
        </w:rPr>
      </w:pPr>
      <w:r w:rsidRPr="000208BD">
        <w:rPr>
          <w:b/>
          <w:lang w:val="en-US"/>
        </w:rPr>
        <w:t>Tab</w:t>
      </w:r>
      <w:r w:rsidR="00446E18">
        <w:rPr>
          <w:b/>
          <w:lang w:val="en-US"/>
        </w:rPr>
        <w:t>le</w:t>
      </w:r>
      <w:r w:rsidRPr="000208BD">
        <w:rPr>
          <w:b/>
          <w:lang w:val="en-US"/>
        </w:rPr>
        <w:t xml:space="preserve"> </w:t>
      </w:r>
      <w:r w:rsidR="00446E18">
        <w:rPr>
          <w:b/>
          <w:lang w:val="en-US"/>
        </w:rPr>
        <w:t>S</w:t>
      </w:r>
      <w:bookmarkStart w:id="0" w:name="_GoBack"/>
      <w:bookmarkEnd w:id="0"/>
      <w:r w:rsidRPr="000208BD">
        <w:rPr>
          <w:b/>
          <w:lang w:val="en-US"/>
        </w:rPr>
        <w:t xml:space="preserve">2: Used reagents for </w:t>
      </w:r>
      <w:proofErr w:type="spellStart"/>
      <w:r w:rsidRPr="000208BD">
        <w:rPr>
          <w:b/>
          <w:lang w:val="en-US"/>
        </w:rPr>
        <w:t>i</w:t>
      </w:r>
      <w:r>
        <w:rPr>
          <w:b/>
          <w:lang w:val="en-US"/>
        </w:rPr>
        <w:t>mmunohistochemical</w:t>
      </w:r>
      <w:proofErr w:type="spellEnd"/>
      <w:r>
        <w:rPr>
          <w:b/>
          <w:lang w:val="en-US"/>
        </w:rPr>
        <w:t xml:space="preserve"> </w:t>
      </w:r>
      <w:proofErr w:type="spellStart"/>
      <w:r>
        <w:rPr>
          <w:b/>
          <w:lang w:val="en-US"/>
        </w:rPr>
        <w:t>labelings</w:t>
      </w:r>
      <w:proofErr w:type="spellEnd"/>
      <w:r>
        <w:rPr>
          <w:b/>
          <w:lang w:val="en-US"/>
        </w:rPr>
        <w:t>.</w:t>
      </w:r>
    </w:p>
    <w:tbl>
      <w:tblPr>
        <w:tblStyle w:val="TableGrid"/>
        <w:tblW w:w="0" w:type="auto"/>
        <w:tblLook w:val="04A0" w:firstRow="1" w:lastRow="0" w:firstColumn="1" w:lastColumn="0" w:noHBand="0" w:noVBand="1"/>
      </w:tblPr>
      <w:tblGrid>
        <w:gridCol w:w="5240"/>
        <w:gridCol w:w="3822"/>
      </w:tblGrid>
      <w:tr w:rsidR="00F978DD" w14:paraId="42CB43C0" w14:textId="77777777" w:rsidTr="00AE06BB">
        <w:tc>
          <w:tcPr>
            <w:tcW w:w="5240" w:type="dxa"/>
            <w:tcBorders>
              <w:top w:val="single" w:sz="12" w:space="0" w:color="auto"/>
              <w:left w:val="nil"/>
              <w:bottom w:val="double" w:sz="4" w:space="0" w:color="auto"/>
              <w:right w:val="nil"/>
            </w:tcBorders>
          </w:tcPr>
          <w:p w14:paraId="7C3A328A" w14:textId="77777777" w:rsidR="00F978DD" w:rsidRPr="00AE06BB" w:rsidRDefault="00AE06BB" w:rsidP="00AE06BB">
            <w:pPr>
              <w:spacing w:before="60" w:after="60"/>
              <w:rPr>
                <w:b/>
              </w:rPr>
            </w:pPr>
            <w:r w:rsidRPr="00AE06BB">
              <w:rPr>
                <w:b/>
              </w:rPr>
              <w:t>Labeling reagent</w:t>
            </w:r>
          </w:p>
        </w:tc>
        <w:tc>
          <w:tcPr>
            <w:tcW w:w="3822" w:type="dxa"/>
            <w:tcBorders>
              <w:top w:val="single" w:sz="12" w:space="0" w:color="auto"/>
              <w:left w:val="nil"/>
              <w:bottom w:val="double" w:sz="4" w:space="0" w:color="auto"/>
              <w:right w:val="nil"/>
            </w:tcBorders>
          </w:tcPr>
          <w:p w14:paraId="5FB1CB25" w14:textId="2B7B5F91" w:rsidR="00F978DD" w:rsidRPr="00AE06BB" w:rsidRDefault="00AE06BB" w:rsidP="00AE06BB">
            <w:pPr>
              <w:spacing w:before="60" w:after="60"/>
              <w:rPr>
                <w:b/>
              </w:rPr>
            </w:pPr>
            <w:r w:rsidRPr="00AE06BB">
              <w:rPr>
                <w:b/>
              </w:rPr>
              <w:t>S</w:t>
            </w:r>
            <w:r w:rsidR="00B51F95">
              <w:rPr>
                <w:b/>
              </w:rPr>
              <w:t>upplier</w:t>
            </w:r>
            <w:r w:rsidR="00CE2B51">
              <w:rPr>
                <w:b/>
              </w:rPr>
              <w:t xml:space="preserve"> and specification</w:t>
            </w:r>
          </w:p>
        </w:tc>
      </w:tr>
      <w:tr w:rsidR="00F978DD" w14:paraId="0908C62C" w14:textId="77777777" w:rsidTr="00AE06BB">
        <w:tc>
          <w:tcPr>
            <w:tcW w:w="5240" w:type="dxa"/>
            <w:tcBorders>
              <w:top w:val="double" w:sz="4" w:space="0" w:color="auto"/>
              <w:left w:val="nil"/>
              <w:bottom w:val="single" w:sz="4" w:space="0" w:color="auto"/>
              <w:right w:val="nil"/>
            </w:tcBorders>
          </w:tcPr>
          <w:p w14:paraId="0AF2F984" w14:textId="77777777" w:rsidR="00F978DD" w:rsidRPr="00E336BF" w:rsidRDefault="00F978DD" w:rsidP="00AE06BB">
            <w:pPr>
              <w:spacing w:before="60" w:after="60"/>
              <w:rPr>
                <w:lang w:val="en-US"/>
              </w:rPr>
            </w:pPr>
            <w:r w:rsidRPr="00E336BF">
              <w:rPr>
                <w:lang w:val="en-US"/>
              </w:rPr>
              <w:t xml:space="preserve">monoclonal anti-acetylated </w:t>
            </w:r>
            <w:r>
              <w:rPr>
                <w:rFonts w:cstheme="minorHAnsi"/>
              </w:rPr>
              <w:t>α</w:t>
            </w:r>
            <w:r w:rsidRPr="00E336BF">
              <w:rPr>
                <w:rFonts w:cstheme="minorHAnsi"/>
                <w:lang w:val="en-US"/>
              </w:rPr>
              <w:t>-tubulin antibody produced in mouse</w:t>
            </w:r>
          </w:p>
        </w:tc>
        <w:tc>
          <w:tcPr>
            <w:tcW w:w="3822" w:type="dxa"/>
            <w:tcBorders>
              <w:top w:val="double" w:sz="4" w:space="0" w:color="auto"/>
              <w:left w:val="nil"/>
              <w:bottom w:val="single" w:sz="4" w:space="0" w:color="auto"/>
              <w:right w:val="nil"/>
            </w:tcBorders>
          </w:tcPr>
          <w:p w14:paraId="265AEB7C" w14:textId="5C7E891E" w:rsidR="00CE2B51" w:rsidRDefault="00F978DD" w:rsidP="00F835D7">
            <w:pPr>
              <w:spacing w:before="60" w:after="60"/>
            </w:pPr>
            <w:r>
              <w:t>Sigma T6793</w:t>
            </w:r>
            <w:r w:rsidR="00CE2B51">
              <w:t xml:space="preserve">, </w:t>
            </w:r>
            <w:r w:rsidR="00B125B7">
              <w:fldChar w:fldCharType="begin"/>
            </w:r>
            <w:r w:rsidR="00B125B7">
              <w:instrText xml:space="preserve"> ADDIN ZOTERO_ITEM CSL_CITATION {"citationID":"SqNy5fEU","properties":{"formattedCitation":"[1]","plainCitation":"[1]","noteIndex":0},"citationItems":[{"id":21385,"uris":["http://zotero.org/users/local/GxOz7on4/items/M35T29PZ"],"uri":["http://zotero.org/users/local/GxOz7on4/items/M35T29PZ"],"itemData":{"id":21385,"type":"article-journal","title":"Brain architecture of the Pacific White Shrimp &lt;i&gt;Penaeus vannamei&lt;/i&gt; Boone, 1931 (Malacostraca, Dendrobranchiata): correspondence of brain structure and sensory input?","container-title":"Cell and Tissue Research","page":"255-271","volume":"369","issue":"2","source":"Springer Link","abstract":"Penaeus vannamei (Dendrobranchiata, Decapoda) is best known as the “Pacific White Shrimp” and is currently the most important crustacean in commercial aquaculture worldwide. Although the neuroanatomy of crustaceans has been well examined in representatives of reptant decapods (“ground-dwelling decapods”), there are only a few studies focusing on shrimps and prawns. In order to obtain insights into the architecture of the brain of P. vannamei, we use neuroanatomical methods including X-ray micro-computed tomography, 3D reconstruction and immunohistochemical staining combined with confocal laser-scanning microscopy and serial sectioning. The brain of P. vannamei exhibits all the prominent neuropils and tracts that characterize the ground pattern of decapod crustaceans. However, the size proportion of some neuropils is salient. The large lateral protocerebrum that comprises the visual neuropils as well as the hemiellipsoid body and medulla terminalis is remarkable. This observation corresponds with the large size of the compound eyes of these animals. In contrast, the remaining median part of the brain is relatively small. It is dominated by the paired antenna 2 neuropils, while the deutocerebral chemosensory lobes play a minor role. Our findings suggest that visual input from the compound eyes and mechanosensory input from the second pair of antennae are major sensory modalities, which this brain processes.","DOI":"10.1007/s00441-017-2607-y","ISSN":"1432-0878","shortTitle":"Brain architecture of the Pacific White Shrimp Penaeus vannamei Boone, 1931 (Malacostraca, Dendrobranchiata)","journalAbbreviation":"Cell Tissue Res","language":"en","author":[{"family":"Meth","given":"Rebecca"},{"family":"Wittfoth","given":"Christin"},{"family":"Harzsch","given":"Steffen"}],"issued":{"date-parts":[["2017",8,1]]}}}],"schema":"https://github.com/citation-style-language/schema/raw/master/csl-citation.json"} </w:instrText>
            </w:r>
            <w:r w:rsidR="00B125B7">
              <w:fldChar w:fldCharType="separate"/>
            </w:r>
            <w:r w:rsidR="00B125B7" w:rsidRPr="00B125B7">
              <w:rPr>
                <w:rFonts w:ascii="Calibri" w:hAnsi="Calibri" w:cs="Calibri"/>
              </w:rPr>
              <w:t>[1]</w:t>
            </w:r>
            <w:r w:rsidR="00B125B7">
              <w:fldChar w:fldCharType="end"/>
            </w:r>
          </w:p>
        </w:tc>
      </w:tr>
      <w:tr w:rsidR="00F978DD" w:rsidRPr="00476987" w14:paraId="0A8D4382" w14:textId="77777777" w:rsidTr="00AE06BB">
        <w:tc>
          <w:tcPr>
            <w:tcW w:w="5240" w:type="dxa"/>
            <w:tcBorders>
              <w:top w:val="single" w:sz="4" w:space="0" w:color="auto"/>
              <w:left w:val="nil"/>
              <w:bottom w:val="single" w:sz="4" w:space="0" w:color="auto"/>
              <w:right w:val="nil"/>
            </w:tcBorders>
          </w:tcPr>
          <w:p w14:paraId="56841304" w14:textId="77777777" w:rsidR="00F978DD" w:rsidRPr="00E336BF" w:rsidRDefault="00AE06BB" w:rsidP="00AE06BB">
            <w:pPr>
              <w:spacing w:before="60" w:after="60"/>
              <w:rPr>
                <w:lang w:val="en-US"/>
              </w:rPr>
            </w:pPr>
            <w:r w:rsidRPr="00E336BF">
              <w:rPr>
                <w:lang w:val="en-US"/>
              </w:rPr>
              <w:t>polyclonal anti-</w:t>
            </w:r>
            <w:proofErr w:type="spellStart"/>
            <w:r w:rsidRPr="00E336BF">
              <w:rPr>
                <w:lang w:val="en-US"/>
              </w:rPr>
              <w:t>FMRFamide</w:t>
            </w:r>
            <w:proofErr w:type="spellEnd"/>
            <w:r w:rsidRPr="00E336BF">
              <w:rPr>
                <w:lang w:val="en-US"/>
              </w:rPr>
              <w:t xml:space="preserve"> antiserum                     produced in rabbit</w:t>
            </w:r>
          </w:p>
        </w:tc>
        <w:tc>
          <w:tcPr>
            <w:tcW w:w="3822" w:type="dxa"/>
            <w:tcBorders>
              <w:top w:val="single" w:sz="4" w:space="0" w:color="auto"/>
              <w:left w:val="nil"/>
              <w:bottom w:val="single" w:sz="4" w:space="0" w:color="auto"/>
              <w:right w:val="nil"/>
            </w:tcBorders>
          </w:tcPr>
          <w:p w14:paraId="23DA58CC" w14:textId="6B8CA66E" w:rsidR="00F978DD" w:rsidRPr="00476987" w:rsidRDefault="00AE06BB" w:rsidP="00B125B7">
            <w:pPr>
              <w:spacing w:before="60" w:after="60"/>
            </w:pPr>
            <w:r w:rsidRPr="00476987">
              <w:t>Acris/Immunostar 20091</w:t>
            </w:r>
            <w:r w:rsidR="00CE2B51" w:rsidRPr="00476987">
              <w:t>,</w:t>
            </w:r>
            <w:r w:rsidR="00B125B7">
              <w:t xml:space="preserve"> </w:t>
            </w:r>
            <w:r w:rsidR="00B125B7">
              <w:fldChar w:fldCharType="begin"/>
            </w:r>
            <w:r w:rsidR="00B125B7">
              <w:instrText xml:space="preserve"> ADDIN ZOTERO_ITEM CSL_CITATION {"citationID":"WRFvwFFM","properties":{"formattedCitation":"[1,2]","plainCitation":"[1,2]","noteIndex":0},"citationItems":[{"id":21385,"uris":["http://zotero.org/users/local/GxOz7on4/items/M35T29PZ"],"uri":["http://zotero.org/users/local/GxOz7on4/items/M35T29PZ"],"itemData":{"id":21385,"type":"article-journal","title":"Brain architecture of the Pacific White Shrimp &lt;i&gt;Penaeus vannamei&lt;/i&gt; Boone, 1931 (Malacostraca, Dendrobranchiata): correspondence of brain structure and sensory input?","container-title":"Cell and Tissue Research","page":"255-271","volume":"369","issue":"2","source":"Springer Link","abstract":"Penaeus vannamei (Dendrobranchiata, Decapoda) is best known as the “Pacific White Shrimp” and is currently the most important crustacean in commercial aquaculture worldwide. Although the neuroanatomy of crustaceans has been well examined in representatives of reptant decapods (“ground-dwelling decapods”), there are only a few studies focusing on shrimps and prawns. In order to obtain insights into the architecture of the brain of P. vannamei, we use neuroanatomical methods including X-ray micro-computed tomography, 3D reconstruction and immunohistochemical staining combined with confocal laser-scanning microscopy and serial sectioning. The brain of P. vannamei exhibits all the prominent neuropils and tracts that characterize the ground pattern of decapod crustaceans. However, the size proportion of some neuropils is salient. The large lateral protocerebrum that comprises the visual neuropils as well as the hemiellipsoid body and medulla terminalis is remarkable. This observation corresponds with the large size of the compound eyes of these animals. In contrast, the remaining median part of the brain is relatively small. It is dominated by the paired antenna 2 neuropils, while the deutocerebral chemosensory lobes play a minor role. Our findings suggest that visual input from the compound eyes and mechanosensory input from the second pair of antennae are major sensory modalities, which this brain processes.","DOI":"10.1007/s00441-017-2607-y","ISSN":"1432-0878","shortTitle":"Brain architecture of the Pacific White Shrimp Penaeus vannamei Boone, 1931 (Malacostraca, Dendrobranchiata)","journalAbbreviation":"Cell Tissue Res","language":"en","author":[{"family":"Meth","given":"Rebecca"},{"family":"Wittfoth","given":"Christin"},{"family":"Harzsch","given":"Steffen"}],"issued":{"date-parts":[["2017",8,1]]}}},{"id":321,"uris":["http://zotero.org/users/local/GxOz7on4/items/UAB67F4S"],"uri":["http://zotero.org/users/local/GxOz7on4/items/UAB67F4S"],"itemData":{"id":321,"type":"article-journal","title":"Brain architecture in the terrestrial hermit crab &lt;i&gt;Coenobita clypeatus&lt;/i&gt; (Anomura, Coenobitidae), a crustacean with a good aerial sense of smell","container-title":"BMC Neuroscience","page":"58","volume":"9","issue":"1","source":"CrossRef","ISSN":"1471-2202","author":[{"family":"Harzsch","given":"Steffen"},{"family":"Hansson","given":"Bill S"}],"issued":{"date-parts":[["2008"]]}}}],"schema":"https://github.com/citation-style-language/schema/raw/master/csl-citation.json"} </w:instrText>
            </w:r>
            <w:r w:rsidR="00B125B7">
              <w:fldChar w:fldCharType="separate"/>
            </w:r>
            <w:r w:rsidR="00B125B7" w:rsidRPr="00B125B7">
              <w:rPr>
                <w:rFonts w:ascii="Calibri" w:hAnsi="Calibri" w:cs="Calibri"/>
              </w:rPr>
              <w:t>[1,2]</w:t>
            </w:r>
            <w:r w:rsidR="00B125B7">
              <w:fldChar w:fldCharType="end"/>
            </w:r>
          </w:p>
        </w:tc>
      </w:tr>
      <w:tr w:rsidR="00F978DD" w:rsidRPr="00307DDE" w14:paraId="323B5F8D" w14:textId="77777777" w:rsidTr="00AE06BB">
        <w:tc>
          <w:tcPr>
            <w:tcW w:w="5240" w:type="dxa"/>
            <w:tcBorders>
              <w:top w:val="single" w:sz="4" w:space="0" w:color="auto"/>
              <w:left w:val="nil"/>
              <w:bottom w:val="single" w:sz="4" w:space="0" w:color="auto"/>
              <w:right w:val="nil"/>
            </w:tcBorders>
          </w:tcPr>
          <w:p w14:paraId="68638AF2" w14:textId="77777777" w:rsidR="00F978DD" w:rsidRPr="00307DDE" w:rsidRDefault="00307DDE" w:rsidP="00AE06BB">
            <w:pPr>
              <w:spacing w:before="60" w:after="60"/>
              <w:rPr>
                <w:lang w:val="en-US"/>
              </w:rPr>
            </w:pPr>
            <w:r>
              <w:rPr>
                <w:lang w:val="en-US"/>
              </w:rPr>
              <w:t xml:space="preserve">polyclonal </w:t>
            </w:r>
            <w:r w:rsidR="00AE06BB" w:rsidRPr="00307DDE">
              <w:rPr>
                <w:lang w:val="en-US"/>
              </w:rPr>
              <w:t>anti-histamine</w:t>
            </w:r>
            <w:r w:rsidRPr="00307DDE">
              <w:rPr>
                <w:lang w:val="en-US"/>
              </w:rPr>
              <w:t xml:space="preserve"> </w:t>
            </w:r>
            <w:r>
              <w:rPr>
                <w:lang w:val="en-US"/>
              </w:rPr>
              <w:t xml:space="preserve">antiserum                   </w:t>
            </w:r>
            <w:r w:rsidRPr="00307DDE">
              <w:rPr>
                <w:lang w:val="en-US"/>
              </w:rPr>
              <w:t xml:space="preserve"> produced i</w:t>
            </w:r>
            <w:r>
              <w:rPr>
                <w:lang w:val="en-US"/>
              </w:rPr>
              <w:t>n rabbit</w:t>
            </w:r>
          </w:p>
        </w:tc>
        <w:tc>
          <w:tcPr>
            <w:tcW w:w="3822" w:type="dxa"/>
            <w:tcBorders>
              <w:top w:val="single" w:sz="4" w:space="0" w:color="auto"/>
              <w:left w:val="nil"/>
              <w:bottom w:val="single" w:sz="4" w:space="0" w:color="auto"/>
              <w:right w:val="nil"/>
            </w:tcBorders>
          </w:tcPr>
          <w:p w14:paraId="4DD65302" w14:textId="32AB9878" w:rsidR="00F978DD" w:rsidRPr="00476987" w:rsidRDefault="00307DDE" w:rsidP="00B125B7">
            <w:pPr>
              <w:spacing w:before="60" w:after="60"/>
            </w:pPr>
            <w:r w:rsidRPr="00476987">
              <w:t>Progen 16043</w:t>
            </w:r>
            <w:r w:rsidR="00CE2B51" w:rsidRPr="00476987">
              <w:t>,</w:t>
            </w:r>
            <w:r w:rsidR="00B125B7">
              <w:t xml:space="preserve"> </w:t>
            </w:r>
            <w:r w:rsidR="00B125B7">
              <w:fldChar w:fldCharType="begin"/>
            </w:r>
            <w:r w:rsidR="00B125B7">
              <w:instrText xml:space="preserve"> ADDIN ZOTERO_ITEM CSL_CITATION {"citationID":"iCLCJ37t","properties":{"formattedCitation":"[2\\uc0\\u8211{}4]","plainCitation":"[2–4]","noteIndex":0},"citationItems":[{"id":321,"uris":["http://zotero.org/users/local/GxOz7on4/items/UAB67F4S"],"uri":["http://zotero.org/users/local/GxOz7on4/items/UAB67F4S"],"itemData":{"id":321,"type":"article-journal","title":"Brain architecture in the terrestrial hermit crab &lt;i&gt;Coenobita clypeatus&lt;/i&gt; (Anomura, Coenobitidae), a crustacean with a good aerial sense of smell","container-title":"BMC Neuroscience","page":"58","volume":"9","issue":"1","source":"CrossRef","ISSN":"1471-2202","author":[{"family":"Harzsch","given":"Steffen"},{"family":"Hansson","given":"Bill S"}],"issued":{"date-parts":[["2008"]]}}},{"id":593,"uris":["http://zotero.org/users/local/GxOz7on4/items/VXTPDDT9"],"uri":["http://zotero.org/users/local/GxOz7on4/items/VXTPDDT9"],"itemData":{"id":593,"type":"article-journal","title":"Immunolocalization of histamine in the optic neuropils of &lt;i&gt;Scutigera coleoptrata&lt;/i&gt; (Myriapoda: Chilopoda) reveals the basal organization of visual systems in Mandibulata","container-title":"Neuroscience Letters","page":"111-116","volume":"594","author":[{"family":"Sombke","given":"Andy"},{"family":"Harzsch","given":"Steffen"}],"issued":{"date-parts":[["2015"]]}}},{"id":1039,"uris":["http://zotero.org/users/local/GxOz7on4/items/Q5PGIIUQ"],"uri":["http://zotero.org/users/local/GxOz7on4/items/Q5PGIIUQ"],"itemData":{"id":1039,"type":"article-journal","title":"Immunohistochemical localization of neurotransmitters in the nervous system of larval &lt;i&gt;Limulus polyphemus&lt;/i&gt; (Chelicerata, Xiphosura): evidence for a conserved protocerebral architecture in Euarthropoda","container-title":"Arthropod Structure &amp; Development","page":"327-342","volume":"34","issue":"3","source":"CrossRef","ISSN":"14678039","shortTitle":"Immunohistochemical localization of neurotransmitters in the nervous system of larval Limulus polyphemus (Chelicerata, Xiphosura)","author":[{"family":"Harzsch","given":"Steffen"},{"family":"Wildt","given":"Miriam"},{"family":"Battelle","given":"Barbara"},{"family":"Waloszek","given":"Dieter"}],"issued":{"date-parts":[["2005",7]]}}}],"schema":"https://github.com/citation-style-language/schema/raw/master/csl-citation.json"} </w:instrText>
            </w:r>
            <w:r w:rsidR="00B125B7">
              <w:fldChar w:fldCharType="separate"/>
            </w:r>
            <w:r w:rsidR="00B125B7" w:rsidRPr="00B125B7">
              <w:rPr>
                <w:rFonts w:ascii="Calibri" w:hAnsi="Calibri" w:cs="Calibri"/>
                <w:szCs w:val="24"/>
              </w:rPr>
              <w:t>[2–4]</w:t>
            </w:r>
            <w:r w:rsidR="00B125B7">
              <w:fldChar w:fldCharType="end"/>
            </w:r>
          </w:p>
        </w:tc>
      </w:tr>
      <w:tr w:rsidR="00F978DD" w:rsidRPr="00CE2B51" w14:paraId="77FD3818" w14:textId="77777777" w:rsidTr="00AE06BB">
        <w:tc>
          <w:tcPr>
            <w:tcW w:w="5240" w:type="dxa"/>
            <w:tcBorders>
              <w:top w:val="single" w:sz="4" w:space="0" w:color="auto"/>
              <w:left w:val="nil"/>
              <w:bottom w:val="single" w:sz="4" w:space="0" w:color="auto"/>
              <w:right w:val="nil"/>
            </w:tcBorders>
          </w:tcPr>
          <w:p w14:paraId="2ACD6650" w14:textId="77777777" w:rsidR="00F978DD" w:rsidRPr="00E336BF" w:rsidRDefault="00AE06BB" w:rsidP="00AE06BB">
            <w:pPr>
              <w:spacing w:before="60" w:after="60"/>
              <w:rPr>
                <w:lang w:val="en-US"/>
              </w:rPr>
            </w:pPr>
            <w:r w:rsidRPr="00E336BF">
              <w:rPr>
                <w:lang w:val="en-US"/>
              </w:rPr>
              <w:t xml:space="preserve">monoclonal anti-SYNORF1 </w:t>
            </w:r>
            <w:proofErr w:type="spellStart"/>
            <w:r w:rsidRPr="00E336BF">
              <w:rPr>
                <w:lang w:val="en-US"/>
              </w:rPr>
              <w:t>synapsin</w:t>
            </w:r>
            <w:proofErr w:type="spellEnd"/>
            <w:r w:rsidRPr="00E336BF">
              <w:rPr>
                <w:lang w:val="en-US"/>
              </w:rPr>
              <w:t xml:space="preserve"> antibody    produced in mouse</w:t>
            </w:r>
          </w:p>
        </w:tc>
        <w:tc>
          <w:tcPr>
            <w:tcW w:w="3822" w:type="dxa"/>
            <w:tcBorders>
              <w:top w:val="single" w:sz="4" w:space="0" w:color="auto"/>
              <w:left w:val="nil"/>
              <w:bottom w:val="single" w:sz="4" w:space="0" w:color="auto"/>
              <w:right w:val="nil"/>
            </w:tcBorders>
          </w:tcPr>
          <w:p w14:paraId="24DAC67C" w14:textId="2CF4B072" w:rsidR="00F978DD" w:rsidRPr="00CE2B51" w:rsidRDefault="00AE06BB" w:rsidP="00B125B7">
            <w:pPr>
              <w:spacing w:before="60" w:after="60"/>
              <w:rPr>
                <w:lang w:val="en-US"/>
              </w:rPr>
            </w:pPr>
            <w:r w:rsidRPr="00CE2B51">
              <w:rPr>
                <w:lang w:val="en-US"/>
              </w:rPr>
              <w:t>DSHB 3C11</w:t>
            </w:r>
            <w:r w:rsidR="00CE2B51" w:rsidRPr="00CE2B51">
              <w:rPr>
                <w:lang w:val="en-US"/>
              </w:rPr>
              <w:t xml:space="preserve">, </w:t>
            </w:r>
            <w:r w:rsidR="00B125B7">
              <w:rPr>
                <w:lang w:val="en-US"/>
              </w:rPr>
              <w:fldChar w:fldCharType="begin"/>
            </w:r>
            <w:r w:rsidR="00B125B7">
              <w:rPr>
                <w:lang w:val="en-US"/>
              </w:rPr>
              <w:instrText xml:space="preserve"> ADDIN ZOTERO_ITEM CSL_CITATION {"citationID":"rQ5QLc6U","properties":{"formattedCitation":"[1,3]","plainCitation":"[1,3]","noteIndex":0},"citationItems":[{"id":21385,"uris":["http://zotero.org/users/local/GxOz7on4/items/M35T29PZ"],"uri":["http://zotero.org/users/local/GxOz7on4/items/M35T29PZ"],"itemData":{"id":21385,"type":"article-journal","title":"Brain architecture of the Pacific White Shrimp &lt;i&gt;Penaeus vannamei&lt;/i&gt; Boone, 1931 (Malacostraca, Dendrobranchiata): correspondence of brain structure and sensory input?","container-title":"Cell and Tissue Research","page":"255-271","volume":"369","issue":"2","source":"Springer Link","abstract":"Penaeus vannamei (Dendrobranchiata, Decapoda) is best known as the “Pacific White Shrimp” and is currently the most important crustacean in commercial aquaculture worldwide. Although the neuroanatomy of crustaceans has been well examined in representatives of reptant decapods (“ground-dwelling decapods”), there are only a few studies focusing on shrimps and prawns. In order to obtain insights into the architecture of the brain of P. vannamei, we use neuroanatomical methods including X-ray micro-computed tomography, 3D reconstruction and immunohistochemical staining combined with confocal laser-scanning microscopy and serial sectioning. The brain of P. vannamei exhibits all the prominent neuropils and tracts that characterize the ground pattern of decapod crustaceans. However, the size proportion of some neuropils is salient. The large lateral protocerebrum that comprises the visual neuropils as well as the hemiellipsoid body and medulla terminalis is remarkable. This observation corresponds with the large size of the compound eyes of these animals. In contrast, the remaining median part of the brain is relatively small. It is dominated by the paired antenna 2 neuropils, while the deutocerebral chemosensory lobes play a minor role. Our findings suggest that visual input from the compound eyes and mechanosensory input from the second pair of antennae are major sensory modalities, which this brain processes.","DOI":"10.1007/s00441-017-2607-y","ISSN":"1432-0878","shortTitle":"Brain architecture of the Pacific White Shrimp Penaeus vannamei Boone, 1931 (Malacostraca, Dendrobranchiata)","journalAbbreviation":"Cell Tissue Res","language":"en","author":[{"family":"Meth","given":"Rebecca"},{"family":"Wittfoth","given":"Christin"},{"family":"Harzsch","given":"Steffen"}],"issued":{"date-parts":[["2017",8,1]]}}},{"id":593,"uris":["http://zotero.org/users/local/GxOz7on4/items/VXTPDDT9"],"uri":["http://zotero.org/users/local/GxOz7on4/items/VXTPDDT9"],"itemData":{"id":593,"type":"article-journal","title":"Immunolocalization of histamine in the optic neuropils of &lt;i&gt;Scutigera coleoptrata&lt;/i&gt; (Myriapoda: Chilopoda) reveals the basal organization of visual systems in Mandibulata","container-title":"Neuroscience Letters","page":"111-116","volume":"594","author":[{"family":"Sombke","given":"Andy"},{"family":"Harzsch","given":"Steffen"}],"issued":{"date-parts":[["2015"]]}}}],"schema":"https://github.com/citation-style-language/schema/raw/master/csl-citation.json"} </w:instrText>
            </w:r>
            <w:r w:rsidR="00B125B7">
              <w:rPr>
                <w:lang w:val="en-US"/>
              </w:rPr>
              <w:fldChar w:fldCharType="separate"/>
            </w:r>
            <w:r w:rsidR="00B125B7" w:rsidRPr="00B125B7">
              <w:rPr>
                <w:rFonts w:ascii="Calibri" w:hAnsi="Calibri" w:cs="Calibri"/>
              </w:rPr>
              <w:t>[1,3]</w:t>
            </w:r>
            <w:r w:rsidR="00B125B7">
              <w:rPr>
                <w:lang w:val="en-US"/>
              </w:rPr>
              <w:fldChar w:fldCharType="end"/>
            </w:r>
          </w:p>
        </w:tc>
      </w:tr>
      <w:tr w:rsidR="00F978DD" w:rsidRPr="00F835D7" w14:paraId="7E6F7058" w14:textId="77777777" w:rsidTr="00AE06BB">
        <w:tc>
          <w:tcPr>
            <w:tcW w:w="5240" w:type="dxa"/>
            <w:tcBorders>
              <w:top w:val="single" w:sz="4" w:space="0" w:color="auto"/>
              <w:left w:val="nil"/>
              <w:bottom w:val="single" w:sz="4" w:space="0" w:color="auto"/>
              <w:right w:val="nil"/>
            </w:tcBorders>
          </w:tcPr>
          <w:p w14:paraId="485DE1A3" w14:textId="77777777" w:rsidR="00F978DD" w:rsidRPr="00E336BF" w:rsidRDefault="00F978DD" w:rsidP="00AE06BB">
            <w:pPr>
              <w:spacing w:before="60" w:after="60"/>
              <w:rPr>
                <w:lang w:val="en-US"/>
              </w:rPr>
            </w:pPr>
            <w:r w:rsidRPr="00E336BF">
              <w:rPr>
                <w:lang w:val="en-US"/>
              </w:rPr>
              <w:t>polyclonal Cy3 anti-mouse IgG secondary antibody produced in goat</w:t>
            </w:r>
          </w:p>
        </w:tc>
        <w:tc>
          <w:tcPr>
            <w:tcW w:w="3822" w:type="dxa"/>
            <w:tcBorders>
              <w:top w:val="single" w:sz="4" w:space="0" w:color="auto"/>
              <w:left w:val="nil"/>
              <w:bottom w:val="single" w:sz="4" w:space="0" w:color="auto"/>
              <w:right w:val="nil"/>
            </w:tcBorders>
          </w:tcPr>
          <w:p w14:paraId="54A5F9DD" w14:textId="1405C76F" w:rsidR="00F978DD" w:rsidRPr="00CE2B51" w:rsidRDefault="00F978DD" w:rsidP="00B125B7">
            <w:pPr>
              <w:spacing w:before="60" w:after="60"/>
              <w:rPr>
                <w:lang w:val="en-US"/>
              </w:rPr>
            </w:pPr>
            <w:r w:rsidRPr="00CE2B51">
              <w:rPr>
                <w:lang w:val="en-US"/>
              </w:rPr>
              <w:t xml:space="preserve">Jackson </w:t>
            </w:r>
            <w:proofErr w:type="spellStart"/>
            <w:r w:rsidRPr="00CE2B51">
              <w:rPr>
                <w:lang w:val="en-US"/>
              </w:rPr>
              <w:t>Immuno</w:t>
            </w:r>
            <w:proofErr w:type="spellEnd"/>
            <w:r w:rsidRPr="00CE2B51">
              <w:rPr>
                <w:lang w:val="en-US"/>
              </w:rPr>
              <w:t xml:space="preserve"> Research 115-165-003</w:t>
            </w:r>
            <w:r w:rsidR="00F835D7">
              <w:rPr>
                <w:lang w:val="en-US"/>
              </w:rPr>
              <w:t xml:space="preserve">, </w:t>
            </w:r>
            <w:r w:rsidR="00B125B7">
              <w:rPr>
                <w:lang w:val="en-US"/>
              </w:rPr>
              <w:fldChar w:fldCharType="begin"/>
            </w:r>
            <w:r w:rsidR="00B125B7">
              <w:rPr>
                <w:lang w:val="en-US"/>
              </w:rPr>
              <w:instrText xml:space="preserve"> ADDIN ZOTERO_ITEM CSL_CITATION {"citationID":"LteVJWD3","properties":{"formattedCitation":"[1]","plainCitation":"[1]","noteIndex":0},"citationItems":[{"id":21385,"uris":["http://zotero.org/users/local/GxOz7on4/items/M35T29PZ"],"uri":["http://zotero.org/users/local/GxOz7on4/items/M35T29PZ"],"itemData":{"id":21385,"type":"article-journal","title":"Brain architecture of the Pacific White Shrimp &lt;i&gt;Penaeus vannamei&lt;/i&gt; Boone, 1931 (Malacostraca, Dendrobranchiata): correspondence of brain structure and sensory input?","container-title":"Cell and Tissue Research","page":"255-271","volume":"369","issue":"2","source":"Springer Link","abstract":"Penaeus vannamei (Dendrobranchiata, Decapoda) is best known as the “Pacific White Shrimp” and is currently the most important crustacean in commercial aquaculture worldwide. Although the neuroanatomy of crustaceans has been well examined in representatives of reptant decapods (“ground-dwelling decapods”), there are only a few studies focusing on shrimps and prawns. In order to obtain insights into the architecture of the brain of P. vannamei, we use neuroanatomical methods including X-ray micro-computed tomography, 3D reconstruction and immunohistochemical staining combined with confocal laser-scanning microscopy and serial sectioning. The brain of P. vannamei exhibits all the prominent neuropils and tracts that characterize the ground pattern of decapod crustaceans. However, the size proportion of some neuropils is salient. The large lateral protocerebrum that comprises the visual neuropils as well as the hemiellipsoid body and medulla terminalis is remarkable. This observation corresponds with the large size of the compound eyes of these animals. In contrast, the remaining median part of the brain is relatively small. It is dominated by the paired antenna 2 neuropils, while the deutocerebral chemosensory lobes play a minor role. Our findings suggest that visual input from the compound eyes and mechanosensory input from the second pair of antennae are major sensory modalities, which this brain processes.","DOI":"10.1007/s00441-017-2607-y","ISSN":"1432-0878","shortTitle":"Brain architecture of the Pacific White Shrimp Penaeus vannamei Boone, 1931 (Malacostraca, Dendrobranchiata)","journalAbbreviation":"Cell Tissue Res","language":"en","author":[{"family":"Meth","given":"Rebecca"},{"family":"Wittfoth","given":"Christin"},{"family":"Harzsch","given":"Steffen"}],"issued":{"date-parts":[["2017",8,1]]}}}],"schema":"https://github.com/citation-style-language/schema/raw/master/csl-citation.json"} </w:instrText>
            </w:r>
            <w:r w:rsidR="00B125B7">
              <w:rPr>
                <w:lang w:val="en-US"/>
              </w:rPr>
              <w:fldChar w:fldCharType="separate"/>
            </w:r>
            <w:r w:rsidR="00B125B7" w:rsidRPr="00B125B7">
              <w:rPr>
                <w:rFonts w:ascii="Calibri" w:hAnsi="Calibri" w:cs="Calibri"/>
              </w:rPr>
              <w:t>[1]</w:t>
            </w:r>
            <w:r w:rsidR="00B125B7">
              <w:rPr>
                <w:lang w:val="en-US"/>
              </w:rPr>
              <w:fldChar w:fldCharType="end"/>
            </w:r>
          </w:p>
        </w:tc>
      </w:tr>
      <w:tr w:rsidR="00F978DD" w:rsidRPr="00F835D7" w14:paraId="5ACFB5D0" w14:textId="77777777" w:rsidTr="00AE06BB">
        <w:tc>
          <w:tcPr>
            <w:tcW w:w="5240" w:type="dxa"/>
            <w:tcBorders>
              <w:top w:val="single" w:sz="4" w:space="0" w:color="auto"/>
              <w:left w:val="nil"/>
              <w:bottom w:val="single" w:sz="4" w:space="0" w:color="auto"/>
              <w:right w:val="nil"/>
            </w:tcBorders>
          </w:tcPr>
          <w:p w14:paraId="1435D0BD" w14:textId="77777777" w:rsidR="00F978DD" w:rsidRPr="00E336BF" w:rsidRDefault="00F978DD" w:rsidP="00AE06BB">
            <w:pPr>
              <w:spacing w:before="60" w:after="60"/>
              <w:rPr>
                <w:lang w:val="en-US"/>
              </w:rPr>
            </w:pPr>
            <w:r w:rsidRPr="00E336BF">
              <w:rPr>
                <w:lang w:val="en-US"/>
              </w:rPr>
              <w:t>polyclonal Alexa 488 anti-rabbit IgG secondary antibody produced in goat</w:t>
            </w:r>
          </w:p>
        </w:tc>
        <w:tc>
          <w:tcPr>
            <w:tcW w:w="3822" w:type="dxa"/>
            <w:tcBorders>
              <w:top w:val="single" w:sz="4" w:space="0" w:color="auto"/>
              <w:left w:val="nil"/>
              <w:bottom w:val="single" w:sz="4" w:space="0" w:color="auto"/>
              <w:right w:val="nil"/>
            </w:tcBorders>
          </w:tcPr>
          <w:p w14:paraId="6F95A45F" w14:textId="210C4FE3" w:rsidR="00F978DD" w:rsidRPr="00CE2B51" w:rsidRDefault="00F978DD" w:rsidP="00B125B7">
            <w:pPr>
              <w:spacing w:before="60" w:after="60"/>
              <w:rPr>
                <w:lang w:val="en-US"/>
              </w:rPr>
            </w:pPr>
            <w:r w:rsidRPr="00CE2B51">
              <w:rPr>
                <w:lang w:val="en-US"/>
              </w:rPr>
              <w:t>Invitrogen A11008</w:t>
            </w:r>
            <w:r w:rsidR="00CE2B51" w:rsidRPr="00CE2B51">
              <w:rPr>
                <w:lang w:val="en-US"/>
              </w:rPr>
              <w:t xml:space="preserve">, </w:t>
            </w:r>
            <w:r w:rsidR="00B125B7">
              <w:rPr>
                <w:lang w:val="en-US"/>
              </w:rPr>
              <w:fldChar w:fldCharType="begin"/>
            </w:r>
            <w:r w:rsidR="00B125B7">
              <w:rPr>
                <w:lang w:val="en-US"/>
              </w:rPr>
              <w:instrText xml:space="preserve"> ADDIN ZOTERO_ITEM CSL_CITATION {"citationID":"jH1jR5lv","properties":{"formattedCitation":"[1,3]","plainCitation":"[1,3]","noteIndex":0},"citationItems":[{"id":21385,"uris":["http://zotero.org/users/local/GxOz7on4/items/M35T29PZ"],"uri":["http://zotero.org/users/local/GxOz7on4/items/M35T29PZ"],"itemData":{"id":21385,"type":"article-journal","title":"Brain architecture of the Pacific White Shrimp &lt;i&gt;Penaeus vannamei&lt;/i&gt; Boone, 1931 (Malacostraca, Dendrobranchiata): correspondence of brain structure and sensory input?","container-title":"Cell and Tissue Research","page":"255-271","volume":"369","issue":"2","source":"Springer Link","abstract":"Penaeus vannamei (Dendrobranchiata, Decapoda) is best known as the “Pacific White Shrimp” and is currently the most important crustacean in commercial aquaculture worldwide. Although the neuroanatomy of crustaceans has been well examined in representatives of reptant decapods (“ground-dwelling decapods”), there are only a few studies focusing on shrimps and prawns. In order to obtain insights into the architecture of the brain of P. vannamei, we use neuroanatomical methods including X-ray micro-computed tomography, 3D reconstruction and immunohistochemical staining combined with confocal laser-scanning microscopy and serial sectioning. The brain of P. vannamei exhibits all the prominent neuropils and tracts that characterize the ground pattern of decapod crustaceans. However, the size proportion of some neuropils is salient. The large lateral protocerebrum that comprises the visual neuropils as well as the hemiellipsoid body and medulla terminalis is remarkable. This observation corresponds with the large size of the compound eyes of these animals. In contrast, the remaining median part of the brain is relatively small. It is dominated by the paired antenna 2 neuropils, while the deutocerebral chemosensory lobes play a minor role. Our findings suggest that visual input from the compound eyes and mechanosensory input from the second pair of antennae are major sensory modalities, which this brain processes.","DOI":"10.1007/s00441-017-2607-y","ISSN":"1432-0878","shortTitle":"Brain architecture of the Pacific White Shrimp Penaeus vannamei Boone, 1931 (Malacostraca, Dendrobranchiata)","journalAbbreviation":"Cell Tissue Res","language":"en","author":[{"family":"Meth","given":"Rebecca"},{"family":"Wittfoth","given":"Christin"},{"family":"Harzsch","given":"Steffen"}],"issued":{"date-parts":[["2017",8,1]]}}},{"id":593,"uris":["http://zotero.org/users/local/GxOz7on4/items/VXTPDDT9"],"uri":["http://zotero.org/users/local/GxOz7on4/items/VXTPDDT9"],"itemData":{"id":593,"type":"article-journal","title":"Immunolocalization of histamine in the optic neuropils of &lt;i&gt;Scutigera coleoptrata&lt;/i&gt; (Myriapoda: Chilopoda) reveals the basal organization of visual systems in Mandibulata","container-title":"Neuroscience Letters","page":"111-116","volume":"594","author":[{"family":"Sombke","given":"Andy"},{"family":"Harzsch","given":"Steffen"}],"issued":{"date-parts":[["2015"]]}}}],"schema":"https://github.com/citation-style-language/schema/raw/master/csl-citation.json"} </w:instrText>
            </w:r>
            <w:r w:rsidR="00B125B7">
              <w:rPr>
                <w:lang w:val="en-US"/>
              </w:rPr>
              <w:fldChar w:fldCharType="separate"/>
            </w:r>
            <w:r w:rsidR="00B125B7" w:rsidRPr="00B125B7">
              <w:rPr>
                <w:rFonts w:ascii="Calibri" w:hAnsi="Calibri" w:cs="Calibri"/>
              </w:rPr>
              <w:t>[1,3]</w:t>
            </w:r>
            <w:r w:rsidR="00B125B7">
              <w:rPr>
                <w:lang w:val="en-US"/>
              </w:rPr>
              <w:fldChar w:fldCharType="end"/>
            </w:r>
          </w:p>
        </w:tc>
      </w:tr>
      <w:tr w:rsidR="00F978DD" w14:paraId="721BCE87" w14:textId="77777777" w:rsidTr="00AE06BB">
        <w:tc>
          <w:tcPr>
            <w:tcW w:w="5240" w:type="dxa"/>
            <w:tcBorders>
              <w:top w:val="single" w:sz="4" w:space="0" w:color="auto"/>
              <w:left w:val="nil"/>
              <w:bottom w:val="single" w:sz="12" w:space="0" w:color="auto"/>
              <w:right w:val="nil"/>
            </w:tcBorders>
          </w:tcPr>
          <w:p w14:paraId="6D7EDC94" w14:textId="77777777" w:rsidR="00F978DD" w:rsidRDefault="00F978DD" w:rsidP="00AE06BB">
            <w:pPr>
              <w:spacing w:before="60" w:after="60"/>
            </w:pPr>
            <w:r>
              <w:t>Hoechst 33258</w:t>
            </w:r>
          </w:p>
        </w:tc>
        <w:tc>
          <w:tcPr>
            <w:tcW w:w="3822" w:type="dxa"/>
            <w:tcBorders>
              <w:top w:val="single" w:sz="4" w:space="0" w:color="auto"/>
              <w:left w:val="nil"/>
              <w:bottom w:val="single" w:sz="12" w:space="0" w:color="auto"/>
              <w:right w:val="nil"/>
            </w:tcBorders>
          </w:tcPr>
          <w:p w14:paraId="36E108CF" w14:textId="3EA37ADE" w:rsidR="00F978DD" w:rsidRDefault="00F978DD" w:rsidP="00B125B7">
            <w:pPr>
              <w:spacing w:before="60" w:after="60"/>
            </w:pPr>
            <w:r>
              <w:t>Sigma 14530</w:t>
            </w:r>
            <w:r w:rsidR="00CE2B51">
              <w:t xml:space="preserve">, </w:t>
            </w:r>
            <w:r w:rsidR="00B125B7">
              <w:fldChar w:fldCharType="begin"/>
            </w:r>
            <w:r w:rsidR="00B125B7">
              <w:instrText xml:space="preserve"> ADDIN ZOTERO_ITEM CSL_CITATION {"citationID":"K2Xet8Sv","properties":{"formattedCitation":"[1]","plainCitation":"[1]","noteIndex":0},"citationItems":[{"id":21385,"uris":["http://zotero.org/users/local/GxOz7on4/items/M35T29PZ"],"uri":["http://zotero.org/users/local/GxOz7on4/items/M35T29PZ"],"itemData":{"id":21385,"type":"article-journal","title":"Brain architecture of the Pacific White Shrimp &lt;i&gt;Penaeus vannamei&lt;/i&gt; Boone, 1931 (Malacostraca, Dendrobranchiata): correspondence of brain structure and sensory input?","container-title":"Cell and Tissue Research","page":"255-271","volume":"369","issue":"2","source":"Springer Link","abstract":"Penaeus vannamei (Dendrobranchiata, Decapoda) is best known as the “Pacific White Shrimp” and is currently the most important crustacean in commercial aquaculture worldwide. Although the neuroanatomy of crustaceans has been well examined in representatives of reptant decapods (“ground-dwelling decapods”), there are only a few studies focusing on shrimps and prawns. In order to obtain insights into the architecture of the brain of P. vannamei, we use neuroanatomical methods including X-ray micro-computed tomography, 3D reconstruction and immunohistochemical staining combined with confocal laser-scanning microscopy and serial sectioning. The brain of P. vannamei exhibits all the prominent neuropils and tracts that characterize the ground pattern of decapod crustaceans. However, the size proportion of some neuropils is salient. The large lateral protocerebrum that comprises the visual neuropils as well as the hemiellipsoid body and medulla terminalis is remarkable. This observation corresponds with the large size of the compound eyes of these animals. In contrast, the remaining median part of the brain is relatively small. It is dominated by the paired antenna 2 neuropils, while the deutocerebral chemosensory lobes play a minor role. Our findings suggest that visual input from the compound eyes and mechanosensory input from the second pair of antennae are major sensory modalities, which this brain processes.","DOI":"10.1007/s00441-017-2607-y","ISSN":"1432-0878","shortTitle":"Brain architecture of the Pacific White Shrimp Penaeus vannamei Boone, 1931 (Malacostraca, Dendrobranchiata)","journalAbbreviation":"Cell Tissue Res","language":"en","author":[{"family":"Meth","given":"Rebecca"},{"family":"Wittfoth","given":"Christin"},{"family":"Harzsch","given":"Steffen"}],"issued":{"date-parts":[["2017",8,1]]}}}],"schema":"https://github.com/citation-style-language/schema/raw/master/csl-citation.json"} </w:instrText>
            </w:r>
            <w:r w:rsidR="00B125B7">
              <w:fldChar w:fldCharType="separate"/>
            </w:r>
            <w:r w:rsidR="00B125B7" w:rsidRPr="00B125B7">
              <w:rPr>
                <w:rFonts w:ascii="Calibri" w:hAnsi="Calibri" w:cs="Calibri"/>
              </w:rPr>
              <w:t>[1]</w:t>
            </w:r>
            <w:r w:rsidR="00B125B7">
              <w:fldChar w:fldCharType="end"/>
            </w:r>
          </w:p>
        </w:tc>
      </w:tr>
    </w:tbl>
    <w:p w14:paraId="2FCF0F60" w14:textId="751FD06F" w:rsidR="001452DF" w:rsidRDefault="001452DF"/>
    <w:p w14:paraId="608C1A9F" w14:textId="79E63FF7" w:rsidR="00B125B7" w:rsidRDefault="00B125B7"/>
    <w:p w14:paraId="2E87660D" w14:textId="77777777" w:rsidR="00B125B7" w:rsidRPr="00B125B7" w:rsidRDefault="00B125B7" w:rsidP="00B125B7">
      <w:pPr>
        <w:pStyle w:val="Bibliography"/>
        <w:rPr>
          <w:rFonts w:ascii="Calibri" w:hAnsi="Calibri" w:cs="Calibri"/>
          <w:lang w:val="en-US"/>
        </w:rPr>
      </w:pPr>
      <w:r>
        <w:fldChar w:fldCharType="begin"/>
      </w:r>
      <w:r w:rsidRPr="00B125B7">
        <w:rPr>
          <w:lang w:val="en-US"/>
        </w:rPr>
        <w:instrText xml:space="preserve"> ADDIN ZOTERO_BIBL {"uncited":[],"omitted":[],"custom":[]} CSL_BIBLIOGRAPHY </w:instrText>
      </w:r>
      <w:r>
        <w:fldChar w:fldCharType="separate"/>
      </w:r>
      <w:r w:rsidRPr="00B125B7">
        <w:rPr>
          <w:rFonts w:ascii="Calibri" w:hAnsi="Calibri" w:cs="Calibri"/>
          <w:lang w:val="en-US"/>
        </w:rPr>
        <w:t xml:space="preserve">1. Meth R, Wittfoth C, Harzsch S. Brain architecture of the Pacific White Shrimp </w:t>
      </w:r>
      <w:r w:rsidRPr="00B125B7">
        <w:rPr>
          <w:rFonts w:ascii="Calibri" w:hAnsi="Calibri" w:cs="Calibri"/>
          <w:i/>
          <w:iCs/>
          <w:lang w:val="en-US"/>
        </w:rPr>
        <w:t>Penaeus vannamei</w:t>
      </w:r>
      <w:r w:rsidRPr="00B125B7">
        <w:rPr>
          <w:rFonts w:ascii="Calibri" w:hAnsi="Calibri" w:cs="Calibri"/>
          <w:lang w:val="en-US"/>
        </w:rPr>
        <w:t xml:space="preserve"> Boone, 1931 (Malacostraca, Dendrobranchiata): correspondence of brain structure and sensory input? Cell Tissue Res. 2017;369:255–71. </w:t>
      </w:r>
    </w:p>
    <w:p w14:paraId="1B62D3F8" w14:textId="77777777" w:rsidR="00B125B7" w:rsidRPr="00B125B7" w:rsidRDefault="00B125B7" w:rsidP="00B125B7">
      <w:pPr>
        <w:pStyle w:val="Bibliography"/>
        <w:rPr>
          <w:rFonts w:ascii="Calibri" w:hAnsi="Calibri" w:cs="Calibri"/>
          <w:lang w:val="en-US"/>
        </w:rPr>
      </w:pPr>
      <w:r w:rsidRPr="00B125B7">
        <w:rPr>
          <w:rFonts w:ascii="Calibri" w:hAnsi="Calibri" w:cs="Calibri"/>
          <w:lang w:val="en-US"/>
        </w:rPr>
        <w:t xml:space="preserve">2. Harzsch S, Hansson BS. Brain architecture in the terrestrial hermit crab </w:t>
      </w:r>
      <w:r w:rsidRPr="00B125B7">
        <w:rPr>
          <w:rFonts w:ascii="Calibri" w:hAnsi="Calibri" w:cs="Calibri"/>
          <w:i/>
          <w:iCs/>
          <w:lang w:val="en-US"/>
        </w:rPr>
        <w:t>Coenobita clypeatus</w:t>
      </w:r>
      <w:r w:rsidRPr="00B125B7">
        <w:rPr>
          <w:rFonts w:ascii="Calibri" w:hAnsi="Calibri" w:cs="Calibri"/>
          <w:lang w:val="en-US"/>
        </w:rPr>
        <w:t xml:space="preserve"> (Anomura, Coenobitidae), a crustacean with a good aerial sense of smell. BMC Neurosci. 2008;9:58. </w:t>
      </w:r>
    </w:p>
    <w:p w14:paraId="396AA35E" w14:textId="77777777" w:rsidR="00B125B7" w:rsidRPr="00B125B7" w:rsidRDefault="00B125B7" w:rsidP="00B125B7">
      <w:pPr>
        <w:pStyle w:val="Bibliography"/>
        <w:rPr>
          <w:rFonts w:ascii="Calibri" w:hAnsi="Calibri" w:cs="Calibri"/>
          <w:lang w:val="en-US"/>
        </w:rPr>
      </w:pPr>
      <w:r w:rsidRPr="00B125B7">
        <w:rPr>
          <w:rFonts w:ascii="Calibri" w:hAnsi="Calibri" w:cs="Calibri"/>
          <w:lang w:val="en-US"/>
        </w:rPr>
        <w:t xml:space="preserve">3. Sombke A, Harzsch S. Immunolocalization of histamine in the optic neuropils of </w:t>
      </w:r>
      <w:r w:rsidRPr="00B125B7">
        <w:rPr>
          <w:rFonts w:ascii="Calibri" w:hAnsi="Calibri" w:cs="Calibri"/>
          <w:i/>
          <w:iCs/>
          <w:lang w:val="en-US"/>
        </w:rPr>
        <w:t>Scutigera coleoptrata</w:t>
      </w:r>
      <w:r w:rsidRPr="00B125B7">
        <w:rPr>
          <w:rFonts w:ascii="Calibri" w:hAnsi="Calibri" w:cs="Calibri"/>
          <w:lang w:val="en-US"/>
        </w:rPr>
        <w:t xml:space="preserve"> (Myriapoda: Chilopoda) reveals the basal organization of visual systems in Mandibulata. Neurosci Lett. 2015;594:111–6. </w:t>
      </w:r>
    </w:p>
    <w:p w14:paraId="4B0A118F" w14:textId="77777777" w:rsidR="00B125B7" w:rsidRPr="00B125B7" w:rsidRDefault="00B125B7" w:rsidP="00B125B7">
      <w:pPr>
        <w:pStyle w:val="Bibliography"/>
        <w:rPr>
          <w:rFonts w:ascii="Calibri" w:hAnsi="Calibri" w:cs="Calibri"/>
        </w:rPr>
      </w:pPr>
      <w:r w:rsidRPr="00B125B7">
        <w:rPr>
          <w:rFonts w:ascii="Calibri" w:hAnsi="Calibri" w:cs="Calibri"/>
          <w:lang w:val="en-US"/>
        </w:rPr>
        <w:t xml:space="preserve">4. Harzsch S, Wildt M, Battelle B, Waloszek D. Immunohistochemical localization of neurotransmitters in the nervous system of larval </w:t>
      </w:r>
      <w:r w:rsidRPr="00B125B7">
        <w:rPr>
          <w:rFonts w:ascii="Calibri" w:hAnsi="Calibri" w:cs="Calibri"/>
          <w:i/>
          <w:iCs/>
          <w:lang w:val="en-US"/>
        </w:rPr>
        <w:t>Limulus polyphemus</w:t>
      </w:r>
      <w:r w:rsidRPr="00B125B7">
        <w:rPr>
          <w:rFonts w:ascii="Calibri" w:hAnsi="Calibri" w:cs="Calibri"/>
          <w:lang w:val="en-US"/>
        </w:rPr>
        <w:t xml:space="preserve"> (Chelicerata, Xiphosura): evidence for a conserved protocerebral architecture in Euarthropoda. </w:t>
      </w:r>
      <w:r w:rsidRPr="00B125B7">
        <w:rPr>
          <w:rFonts w:ascii="Calibri" w:hAnsi="Calibri" w:cs="Calibri"/>
        </w:rPr>
        <w:t xml:space="preserve">Arthropod Struct Dev. 2005;34:327–42. </w:t>
      </w:r>
    </w:p>
    <w:p w14:paraId="1130F0C0" w14:textId="14AEA5CB" w:rsidR="00B125B7" w:rsidRDefault="00B125B7">
      <w:r>
        <w:fldChar w:fldCharType="end"/>
      </w:r>
    </w:p>
    <w:sectPr w:rsidR="00B125B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1C2CE3"/>
    <w:rsid w:val="00005A1B"/>
    <w:rsid w:val="000208BD"/>
    <w:rsid w:val="00104B30"/>
    <w:rsid w:val="001452DF"/>
    <w:rsid w:val="001C2CE3"/>
    <w:rsid w:val="002B0CF8"/>
    <w:rsid w:val="00307DDE"/>
    <w:rsid w:val="00376932"/>
    <w:rsid w:val="00446E18"/>
    <w:rsid w:val="00476987"/>
    <w:rsid w:val="006D2A7D"/>
    <w:rsid w:val="00AE06BB"/>
    <w:rsid w:val="00B125B7"/>
    <w:rsid w:val="00B51F95"/>
    <w:rsid w:val="00CE2B51"/>
    <w:rsid w:val="00E336BF"/>
    <w:rsid w:val="00F835D7"/>
    <w:rsid w:val="00F978DD"/>
    <w:rsid w:val="00FA5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0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36BF"/>
    <w:rPr>
      <w:sz w:val="16"/>
      <w:szCs w:val="16"/>
    </w:rPr>
  </w:style>
  <w:style w:type="paragraph" w:styleId="CommentText">
    <w:name w:val="annotation text"/>
    <w:basedOn w:val="Normal"/>
    <w:link w:val="CommentTextChar"/>
    <w:uiPriority w:val="99"/>
    <w:semiHidden/>
    <w:unhideWhenUsed/>
    <w:rsid w:val="00E336BF"/>
    <w:pPr>
      <w:spacing w:line="240" w:lineRule="auto"/>
    </w:pPr>
    <w:rPr>
      <w:sz w:val="20"/>
      <w:szCs w:val="20"/>
    </w:rPr>
  </w:style>
  <w:style w:type="character" w:customStyle="1" w:styleId="CommentTextChar">
    <w:name w:val="Comment Text Char"/>
    <w:basedOn w:val="DefaultParagraphFont"/>
    <w:link w:val="CommentText"/>
    <w:uiPriority w:val="99"/>
    <w:semiHidden/>
    <w:rsid w:val="00E336BF"/>
    <w:rPr>
      <w:sz w:val="20"/>
      <w:szCs w:val="20"/>
    </w:rPr>
  </w:style>
  <w:style w:type="paragraph" w:styleId="CommentSubject">
    <w:name w:val="annotation subject"/>
    <w:basedOn w:val="CommentText"/>
    <w:next w:val="CommentText"/>
    <w:link w:val="CommentSubjectChar"/>
    <w:uiPriority w:val="99"/>
    <w:semiHidden/>
    <w:unhideWhenUsed/>
    <w:rsid w:val="00E336BF"/>
    <w:rPr>
      <w:b/>
      <w:bCs/>
    </w:rPr>
  </w:style>
  <w:style w:type="character" w:customStyle="1" w:styleId="CommentSubjectChar">
    <w:name w:val="Comment Subject Char"/>
    <w:basedOn w:val="CommentTextChar"/>
    <w:link w:val="CommentSubject"/>
    <w:uiPriority w:val="99"/>
    <w:semiHidden/>
    <w:rsid w:val="00E336BF"/>
    <w:rPr>
      <w:b/>
      <w:bCs/>
      <w:sz w:val="20"/>
      <w:szCs w:val="20"/>
    </w:rPr>
  </w:style>
  <w:style w:type="paragraph" w:styleId="BalloonText">
    <w:name w:val="Balloon Text"/>
    <w:basedOn w:val="Normal"/>
    <w:link w:val="BalloonTextChar"/>
    <w:uiPriority w:val="99"/>
    <w:semiHidden/>
    <w:unhideWhenUsed/>
    <w:rsid w:val="00E33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6BF"/>
    <w:rPr>
      <w:rFonts w:ascii="Segoe UI" w:hAnsi="Segoe UI" w:cs="Segoe UI"/>
      <w:sz w:val="18"/>
      <w:szCs w:val="18"/>
    </w:rPr>
  </w:style>
  <w:style w:type="paragraph" w:styleId="Bibliography">
    <w:name w:val="Bibliography"/>
    <w:basedOn w:val="Normal"/>
    <w:next w:val="Normal"/>
    <w:uiPriority w:val="37"/>
    <w:unhideWhenUsed/>
    <w:rsid w:val="00B125B7"/>
    <w:pPr>
      <w:spacing w:after="24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36BF"/>
    <w:rPr>
      <w:sz w:val="16"/>
      <w:szCs w:val="16"/>
    </w:rPr>
  </w:style>
  <w:style w:type="paragraph" w:styleId="CommentText">
    <w:name w:val="annotation text"/>
    <w:basedOn w:val="Normal"/>
    <w:link w:val="CommentTextChar"/>
    <w:uiPriority w:val="99"/>
    <w:semiHidden/>
    <w:unhideWhenUsed/>
    <w:rsid w:val="00E336BF"/>
    <w:pPr>
      <w:spacing w:line="240" w:lineRule="auto"/>
    </w:pPr>
    <w:rPr>
      <w:sz w:val="20"/>
      <w:szCs w:val="20"/>
    </w:rPr>
  </w:style>
  <w:style w:type="character" w:customStyle="1" w:styleId="CommentTextChar">
    <w:name w:val="Comment Text Char"/>
    <w:basedOn w:val="DefaultParagraphFont"/>
    <w:link w:val="CommentText"/>
    <w:uiPriority w:val="99"/>
    <w:semiHidden/>
    <w:rsid w:val="00E336BF"/>
    <w:rPr>
      <w:sz w:val="20"/>
      <w:szCs w:val="20"/>
    </w:rPr>
  </w:style>
  <w:style w:type="paragraph" w:styleId="CommentSubject">
    <w:name w:val="annotation subject"/>
    <w:basedOn w:val="CommentText"/>
    <w:next w:val="CommentText"/>
    <w:link w:val="CommentSubjectChar"/>
    <w:uiPriority w:val="99"/>
    <w:semiHidden/>
    <w:unhideWhenUsed/>
    <w:rsid w:val="00E336BF"/>
    <w:rPr>
      <w:b/>
      <w:bCs/>
    </w:rPr>
  </w:style>
  <w:style w:type="character" w:customStyle="1" w:styleId="CommentSubjectChar">
    <w:name w:val="Comment Subject Char"/>
    <w:basedOn w:val="CommentTextChar"/>
    <w:link w:val="CommentSubject"/>
    <w:uiPriority w:val="99"/>
    <w:semiHidden/>
    <w:rsid w:val="00E336BF"/>
    <w:rPr>
      <w:b/>
      <w:bCs/>
      <w:sz w:val="20"/>
      <w:szCs w:val="20"/>
    </w:rPr>
  </w:style>
  <w:style w:type="paragraph" w:styleId="BalloonText">
    <w:name w:val="Balloon Text"/>
    <w:basedOn w:val="Normal"/>
    <w:link w:val="BalloonTextChar"/>
    <w:uiPriority w:val="99"/>
    <w:semiHidden/>
    <w:unhideWhenUsed/>
    <w:rsid w:val="00E33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6BF"/>
    <w:rPr>
      <w:rFonts w:ascii="Segoe UI" w:hAnsi="Segoe UI" w:cs="Segoe UI"/>
      <w:sz w:val="18"/>
      <w:szCs w:val="18"/>
    </w:rPr>
  </w:style>
  <w:style w:type="paragraph" w:styleId="Bibliography">
    <w:name w:val="Bibliography"/>
    <w:basedOn w:val="Normal"/>
    <w:next w:val="Normal"/>
    <w:uiPriority w:val="37"/>
    <w:unhideWhenUsed/>
    <w:rsid w:val="00B125B7"/>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2782</Words>
  <Characters>18394</Characters>
  <Application>Microsoft Office Word</Application>
  <DocSecurity>0</DocSecurity>
  <Lines>525</Lines>
  <Paragraphs>320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dc:creator>
  <cp:keywords/>
  <dc:description/>
  <cp:lastModifiedBy>S3G_Reference_Citation_Sequence</cp:lastModifiedBy>
  <cp:revision>13</cp:revision>
  <dcterms:created xsi:type="dcterms:W3CDTF">2019-02-06T13:13:00Z</dcterms:created>
  <dcterms:modified xsi:type="dcterms:W3CDTF">2019-07-17T08:12:00Z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zotero-version="5.0.64"&gt;&lt;session id="CZjWvrtL"/&gt;&lt;style id="http://www.zotero.org/styles/frontiers-in-zoology"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