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87E2D" w14:textId="77777777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22E97A1D" w14:textId="77777777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46D0E61B" w14:textId="77777777" w:rsidR="00A40D75" w:rsidRPr="002D469E" w:rsidRDefault="00A40D75" w:rsidP="00A40D7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D994A17" w14:textId="040BD1A1" w:rsidR="00A40D75" w:rsidRDefault="002A3065" w:rsidP="00A40D75">
      <w:pPr>
        <w:jc w:val="center"/>
        <w:rPr>
          <w:rFonts w:ascii="Times New Roman" w:hAnsi="Times New Roman" w:cs="Times New Roman"/>
          <w:sz w:val="32"/>
          <w:szCs w:val="32"/>
        </w:rPr>
      </w:pPr>
      <w:r w:rsidRPr="002D469E">
        <w:rPr>
          <w:rFonts w:ascii="Times New Roman" w:hAnsi="Times New Roman" w:cs="Times New Roman"/>
          <w:sz w:val="32"/>
          <w:szCs w:val="32"/>
        </w:rPr>
        <w:t xml:space="preserve">Supplementary </w:t>
      </w:r>
      <w:r w:rsidR="00A40D75" w:rsidRPr="002D469E">
        <w:rPr>
          <w:rFonts w:ascii="Times New Roman" w:hAnsi="Times New Roman" w:cs="Times New Roman"/>
          <w:sz w:val="32"/>
          <w:szCs w:val="32"/>
        </w:rPr>
        <w:t>section</w:t>
      </w:r>
    </w:p>
    <w:p w14:paraId="5475BF77" w14:textId="77777777" w:rsidR="002D469E" w:rsidRPr="002D469E" w:rsidRDefault="002D469E" w:rsidP="00A40D7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78C4B5" w14:textId="77777777" w:rsidR="00E52F6E" w:rsidRDefault="00E52F6E" w:rsidP="00E94A7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DFF">
        <w:rPr>
          <w:rFonts w:ascii="Times New Roman" w:hAnsi="Times New Roman" w:cs="Times New Roman"/>
          <w:b/>
          <w:sz w:val="24"/>
          <w:szCs w:val="24"/>
          <w:highlight w:val="yellow"/>
        </w:rPr>
        <w:t>Immediate and Long-term effects of BCI-based rehabilitation of the upper extremity after stroke: A Systematic Review and Meta-analysis</w:t>
      </w:r>
      <w:r w:rsidRPr="00C020BF" w:rsidDel="0084475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14:paraId="64AAAADD" w14:textId="73DB7DDF" w:rsidR="00E94A76" w:rsidRPr="00D17230" w:rsidRDefault="00E94A76" w:rsidP="00E94A7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30">
        <w:rPr>
          <w:rFonts w:ascii="Times New Roman" w:hAnsi="Times New Roman" w:cs="Times New Roman"/>
          <w:sz w:val="24"/>
          <w:szCs w:val="24"/>
        </w:rPr>
        <w:t>Zhongfei Bai</w:t>
      </w:r>
      <w:r w:rsidRPr="00D17230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7230">
        <w:rPr>
          <w:rFonts w:ascii="Times New Roman" w:hAnsi="Times New Roman" w:cs="Times New Roman"/>
          <w:sz w:val="24"/>
          <w:szCs w:val="24"/>
        </w:rPr>
        <w:t>Kenneth N. K. Fong</w:t>
      </w:r>
      <w:r w:rsidRPr="00D172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7230">
        <w:rPr>
          <w:rFonts w:ascii="Times New Roman" w:hAnsi="Times New Roman" w:cs="Times New Roman"/>
          <w:sz w:val="24"/>
          <w:szCs w:val="24"/>
        </w:rPr>
        <w:t>Jiaqi Zhang</w:t>
      </w:r>
      <w:r w:rsidRPr="00D1723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7230">
        <w:rPr>
          <w:rFonts w:ascii="Times New Roman" w:hAnsi="Times New Roman" w:cs="Times New Roman"/>
          <w:sz w:val="24"/>
          <w:szCs w:val="24"/>
        </w:rPr>
        <w:t>, Josephine Chan</w:t>
      </w:r>
      <w:r w:rsidRPr="00D17230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0269CF42" w14:textId="77777777" w:rsidR="00E94A76" w:rsidRPr="00D17230" w:rsidRDefault="00E94A76" w:rsidP="00E94A7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040CAD4" w14:textId="77777777" w:rsidR="00E94A76" w:rsidRPr="00D17230" w:rsidRDefault="00E94A76" w:rsidP="00E94A76">
      <w:pPr>
        <w:spacing w:line="480" w:lineRule="auto"/>
        <w:jc w:val="left"/>
        <w:rPr>
          <w:rFonts w:ascii="Times New Roman" w:hAnsi="Times New Roman" w:cs="Times New Roman"/>
          <w:color w:val="1E1E1B"/>
          <w:sz w:val="24"/>
          <w:szCs w:val="24"/>
        </w:rPr>
      </w:pPr>
      <w:r w:rsidRPr="00D17230">
        <w:rPr>
          <w:rFonts w:ascii="Times New Roman" w:hAnsi="Times New Roman" w:cs="Times New Roman"/>
          <w:color w:val="1E1E1B"/>
          <w:sz w:val="24"/>
          <w:szCs w:val="24"/>
          <w:vertAlign w:val="superscript"/>
        </w:rPr>
        <w:t>1</w:t>
      </w:r>
      <w:r w:rsidRPr="00D17230">
        <w:rPr>
          <w:rFonts w:ascii="Times New Roman" w:hAnsi="Times New Roman" w:cs="Times New Roman"/>
          <w:color w:val="1E1E1B"/>
          <w:sz w:val="24"/>
          <w:szCs w:val="24"/>
        </w:rPr>
        <w:t>Department of Rehabilitation Sciences, The Hong Kong Polytechnic Unive</w:t>
      </w:r>
      <w:r>
        <w:rPr>
          <w:rFonts w:ascii="Times New Roman" w:hAnsi="Times New Roman" w:cs="Times New Roman"/>
          <w:color w:val="1E1E1B"/>
          <w:sz w:val="24"/>
          <w:szCs w:val="24"/>
        </w:rPr>
        <w:t>rsity, Kowloon, Hong Kong SAR</w:t>
      </w:r>
    </w:p>
    <w:p w14:paraId="40B1F52B" w14:textId="77777777" w:rsidR="00E94A76" w:rsidRPr="00D17230" w:rsidRDefault="00E94A76" w:rsidP="00E94A76">
      <w:pPr>
        <w:spacing w:line="480" w:lineRule="auto"/>
        <w:jc w:val="left"/>
        <w:rPr>
          <w:rFonts w:ascii="Times New Roman" w:hAnsi="Times New Roman" w:cs="Times New Roman"/>
          <w:color w:val="1E1E1B"/>
          <w:sz w:val="24"/>
          <w:szCs w:val="24"/>
        </w:rPr>
      </w:pPr>
      <w:r w:rsidRPr="00D17230">
        <w:rPr>
          <w:rFonts w:ascii="Times New Roman" w:hAnsi="Times New Roman" w:cs="Times New Roman"/>
          <w:color w:val="1E1E1B"/>
          <w:sz w:val="24"/>
          <w:szCs w:val="24"/>
          <w:vertAlign w:val="superscript"/>
        </w:rPr>
        <w:t>2</w:t>
      </w:r>
      <w:r w:rsidRPr="00D17230">
        <w:rPr>
          <w:rFonts w:ascii="Times New Roman" w:hAnsi="Times New Roman" w:cs="Times New Roman"/>
          <w:color w:val="1E1E1B"/>
          <w:sz w:val="24"/>
          <w:szCs w:val="24"/>
        </w:rPr>
        <w:t>Department of Occupational Therapy, Shanghai YangZhi Rehabilitation Hospital (Shanghai Sunshine Rehabilitation Center), Shanghai, China</w:t>
      </w:r>
    </w:p>
    <w:p w14:paraId="06174E6A" w14:textId="77777777" w:rsidR="00E94A76" w:rsidRPr="00D17230" w:rsidRDefault="00E94A76" w:rsidP="00E94A76">
      <w:pPr>
        <w:spacing w:line="480" w:lineRule="auto"/>
        <w:jc w:val="left"/>
        <w:rPr>
          <w:rFonts w:ascii="Times New Roman" w:hAnsi="Times New Roman" w:cs="Times New Roman"/>
          <w:color w:val="1E1E1B"/>
          <w:sz w:val="24"/>
          <w:szCs w:val="24"/>
        </w:rPr>
      </w:pPr>
      <w:r w:rsidRPr="00D17230">
        <w:rPr>
          <w:rFonts w:ascii="Times New Roman" w:hAnsi="Times New Roman" w:cs="Times New Roman"/>
          <w:color w:val="1E1E1B"/>
          <w:sz w:val="24"/>
          <w:szCs w:val="24"/>
          <w:vertAlign w:val="superscript"/>
        </w:rPr>
        <w:t>3</w:t>
      </w:r>
      <w:r w:rsidRPr="00D17230">
        <w:rPr>
          <w:rFonts w:ascii="Times New Roman" w:hAnsi="Times New Roman" w:cs="Times New Roman"/>
          <w:color w:val="1E1E1B"/>
          <w:sz w:val="24"/>
          <w:szCs w:val="24"/>
        </w:rPr>
        <w:t>Department of Rehabilitation Sciences, Tongji University School of Medicine, Shanghai, China</w:t>
      </w:r>
    </w:p>
    <w:p w14:paraId="4727D92D" w14:textId="77777777" w:rsidR="00E94A76" w:rsidRDefault="00E94A76" w:rsidP="00E94A76">
      <w:pPr>
        <w:spacing w:line="480" w:lineRule="auto"/>
        <w:jc w:val="left"/>
        <w:rPr>
          <w:rFonts w:ascii="Times New Roman" w:hAnsi="Times New Roman" w:cs="Times New Roman"/>
          <w:color w:val="1E1E1B"/>
          <w:sz w:val="24"/>
          <w:szCs w:val="24"/>
        </w:rPr>
      </w:pPr>
      <w:r w:rsidRPr="00D17230">
        <w:rPr>
          <w:rFonts w:ascii="Times New Roman" w:hAnsi="Times New Roman" w:cs="Times New Roman"/>
          <w:color w:val="1E1E1B"/>
          <w:sz w:val="24"/>
          <w:szCs w:val="24"/>
          <w:vertAlign w:val="superscript"/>
        </w:rPr>
        <w:t>4</w:t>
      </w:r>
      <w:r w:rsidRPr="00D17230">
        <w:rPr>
          <w:rFonts w:ascii="Times New Roman" w:hAnsi="Times New Roman" w:cs="Times New Roman"/>
          <w:color w:val="1E1E1B"/>
          <w:sz w:val="24"/>
          <w:szCs w:val="24"/>
        </w:rPr>
        <w:t>School of Occupational Therapy, Institute of Health Sciences, Texas Woman</w:t>
      </w:r>
      <w:r>
        <w:rPr>
          <w:rFonts w:ascii="Times New Roman" w:hAnsi="Times New Roman" w:cs="Times New Roman"/>
          <w:color w:val="1E1E1B"/>
          <w:sz w:val="24"/>
          <w:szCs w:val="24"/>
        </w:rPr>
        <w:t>’</w:t>
      </w:r>
      <w:r w:rsidRPr="00D17230">
        <w:rPr>
          <w:rFonts w:ascii="Times New Roman" w:hAnsi="Times New Roman" w:cs="Times New Roman"/>
          <w:color w:val="1E1E1B"/>
          <w:sz w:val="24"/>
          <w:szCs w:val="24"/>
        </w:rPr>
        <w:t>s University, Houston Center, USA</w:t>
      </w:r>
    </w:p>
    <w:p w14:paraId="60D170B3" w14:textId="5DDD6136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10E73AD3" w14:textId="11C85AD7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4E51A7B2" w14:textId="2D9B3D58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378D1F1A" w14:textId="3BEF02E2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5B4E7B28" w14:textId="77777777" w:rsidR="00A40D75" w:rsidRPr="00A40D75" w:rsidRDefault="00A40D75" w:rsidP="00A40D75">
      <w:pPr>
        <w:jc w:val="center"/>
        <w:rPr>
          <w:rFonts w:ascii="Times New Roman" w:hAnsi="Times New Roman" w:cs="Times New Roman"/>
        </w:rPr>
      </w:pPr>
    </w:p>
    <w:p w14:paraId="53FDB885" w14:textId="479CB8BB" w:rsidR="00A40D75" w:rsidRPr="00A40D75" w:rsidRDefault="00A40D75">
      <w:pPr>
        <w:rPr>
          <w:rFonts w:ascii="Times New Roman" w:hAnsi="Times New Roman" w:cs="Times New Roman"/>
        </w:rPr>
      </w:pPr>
    </w:p>
    <w:p w14:paraId="6267C5C8" w14:textId="77777777" w:rsidR="00A40D75" w:rsidRPr="00A40D75" w:rsidRDefault="00A40D75">
      <w:pPr>
        <w:rPr>
          <w:rFonts w:ascii="Times New Roman" w:hAnsi="Times New Roman" w:cs="Times New Roman"/>
        </w:rPr>
      </w:pPr>
    </w:p>
    <w:p w14:paraId="6E1EA53D" w14:textId="1E44C406" w:rsidR="002A3065" w:rsidRPr="002D469E" w:rsidRDefault="002A3065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AD1494" wp14:editId="3A0CFE25">
            <wp:extent cx="5274310" cy="35166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ediateeffect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0CDF4" w14:textId="74BA4DA8" w:rsidR="00A40D75" w:rsidRPr="002D469E" w:rsidRDefault="00A40D75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 xml:space="preserve">Figure S1. Funnel plot of the meta-analysis for the immediate effects </w:t>
      </w:r>
      <w:r w:rsidR="00D7053A">
        <w:rPr>
          <w:rFonts w:ascii="Times New Roman" w:hAnsi="Times New Roman" w:cs="Times New Roman"/>
          <w:sz w:val="24"/>
          <w:szCs w:val="24"/>
        </w:rPr>
        <w:t xml:space="preserve">of BCIs </w:t>
      </w:r>
      <w:bookmarkStart w:id="0" w:name="_GoBack"/>
      <w:bookmarkEnd w:id="0"/>
      <w:r w:rsidRPr="002D469E">
        <w:rPr>
          <w:rFonts w:ascii="Times New Roman" w:hAnsi="Times New Roman" w:cs="Times New Roman"/>
          <w:sz w:val="24"/>
          <w:szCs w:val="24"/>
        </w:rPr>
        <w:t xml:space="preserve">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</w:p>
    <w:p w14:paraId="3979A6D0" w14:textId="0B013ECD" w:rsidR="00A40D75" w:rsidRPr="002D469E" w:rsidRDefault="00A40D75">
      <w:pPr>
        <w:rPr>
          <w:rFonts w:ascii="Times New Roman" w:hAnsi="Times New Roman" w:cs="Times New Roman"/>
          <w:sz w:val="24"/>
          <w:szCs w:val="24"/>
        </w:rPr>
      </w:pPr>
    </w:p>
    <w:p w14:paraId="49D2EBA7" w14:textId="17C73B94" w:rsidR="00A40D75" w:rsidRPr="002D469E" w:rsidRDefault="00A40D75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noProof/>
          <w:sz w:val="24"/>
          <w:szCs w:val="24"/>
        </w:rPr>
        <w:drawing>
          <wp:inline distT="0" distB="0" distL="0" distR="0" wp14:anchorId="4E907C50" wp14:editId="57565C1E">
            <wp:extent cx="5274310" cy="35159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07BCB" w14:textId="0367C18E" w:rsidR="00A40D75" w:rsidRPr="002D469E" w:rsidRDefault="00A40D75" w:rsidP="00A40D75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 xml:space="preserve">Figure S2. </w:t>
      </w:r>
      <w:bookmarkStart w:id="1" w:name="_Hlk18939234"/>
      <w:r w:rsidRPr="002D469E">
        <w:rPr>
          <w:rFonts w:ascii="Times New Roman" w:hAnsi="Times New Roman" w:cs="Times New Roman"/>
          <w:sz w:val="24"/>
          <w:szCs w:val="24"/>
        </w:rPr>
        <w:t>Funnel plot of the</w:t>
      </w:r>
      <w:r w:rsidR="00090D0B" w:rsidRPr="002D469E">
        <w:rPr>
          <w:rFonts w:ascii="Times New Roman" w:hAnsi="Times New Roman" w:cs="Times New Roman"/>
          <w:sz w:val="24"/>
          <w:szCs w:val="24"/>
        </w:rPr>
        <w:t xml:space="preserve"> subgroup</w:t>
      </w:r>
      <w:r w:rsidRPr="002D469E">
        <w:rPr>
          <w:rFonts w:ascii="Times New Roman" w:hAnsi="Times New Roman" w:cs="Times New Roman"/>
          <w:sz w:val="24"/>
          <w:szCs w:val="24"/>
        </w:rPr>
        <w:t xml:space="preserve"> meta-analysis for</w:t>
      </w:r>
      <w:r w:rsidR="002C57FA" w:rsidRPr="002D469E">
        <w:rPr>
          <w:rFonts w:ascii="Times New Roman" w:hAnsi="Times New Roman" w:cs="Times New Roman"/>
          <w:sz w:val="24"/>
          <w:szCs w:val="24"/>
        </w:rPr>
        <w:t xml:space="preserve"> the</w:t>
      </w:r>
      <w:r w:rsidRPr="002D469E">
        <w:rPr>
          <w:rFonts w:ascii="Times New Roman" w:hAnsi="Times New Roman" w:cs="Times New Roman"/>
          <w:sz w:val="24"/>
          <w:szCs w:val="24"/>
        </w:rPr>
        <w:t xml:space="preserve"> effects</w:t>
      </w:r>
      <w:r w:rsidR="00090D0B" w:rsidRPr="002D469E">
        <w:rPr>
          <w:rFonts w:ascii="Times New Roman" w:hAnsi="Times New Roman" w:cs="Times New Roman"/>
          <w:sz w:val="24"/>
          <w:szCs w:val="24"/>
        </w:rPr>
        <w:t xml:space="preserve"> of motor </w:t>
      </w:r>
      <w:r w:rsidR="00D7053A" w:rsidRPr="002D469E">
        <w:rPr>
          <w:rFonts w:ascii="Times New Roman" w:hAnsi="Times New Roman" w:cs="Times New Roman"/>
          <w:sz w:val="24"/>
          <w:szCs w:val="24"/>
        </w:rPr>
        <w:t>imagery based</w:t>
      </w:r>
      <w:r w:rsidR="00090D0B" w:rsidRPr="002D469E">
        <w:rPr>
          <w:rFonts w:ascii="Times New Roman" w:hAnsi="Times New Roman" w:cs="Times New Roman"/>
          <w:sz w:val="24"/>
          <w:szCs w:val="24"/>
        </w:rPr>
        <w:t xml:space="preserve"> BCI</w:t>
      </w:r>
      <w:bookmarkEnd w:id="1"/>
      <w:r w:rsidR="002C57FA" w:rsidRPr="002D469E">
        <w:rPr>
          <w:rFonts w:ascii="Times New Roman" w:hAnsi="Times New Roman" w:cs="Times New Roman"/>
          <w:sz w:val="24"/>
          <w:szCs w:val="24"/>
        </w:rPr>
        <w:t>s</w:t>
      </w:r>
      <w:r w:rsidRPr="002D469E">
        <w:rPr>
          <w:rFonts w:ascii="Times New Roman" w:hAnsi="Times New Roman" w:cs="Times New Roman"/>
          <w:sz w:val="24"/>
          <w:szCs w:val="24"/>
        </w:rPr>
        <w:t xml:space="preserve"> 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</w:p>
    <w:p w14:paraId="124D4E26" w14:textId="0D2E03D3" w:rsidR="00D35874" w:rsidRPr="002D469E" w:rsidRDefault="00D35874" w:rsidP="00A40D75">
      <w:pPr>
        <w:rPr>
          <w:rFonts w:ascii="Times New Roman" w:hAnsi="Times New Roman" w:cs="Times New Roman"/>
          <w:sz w:val="24"/>
          <w:szCs w:val="24"/>
        </w:rPr>
      </w:pPr>
    </w:p>
    <w:p w14:paraId="3955806E" w14:textId="763A5F79" w:rsidR="00D35874" w:rsidRPr="002D469E" w:rsidRDefault="00D35874" w:rsidP="00A40D75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6D9C8B" wp14:editId="601B5670">
            <wp:extent cx="5271770" cy="3510915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56E5" w14:textId="57D16DA8" w:rsidR="00D35874" w:rsidRPr="002D469E" w:rsidRDefault="00D35874" w:rsidP="00D35874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 xml:space="preserve">Figure S3. Funnel plot of the subgroup meta-analysis for effects of BCIs </w:t>
      </w:r>
      <w:r w:rsidR="00081452" w:rsidRPr="002D469E">
        <w:rPr>
          <w:rFonts w:ascii="Times New Roman" w:hAnsi="Times New Roman" w:cs="Times New Roman"/>
          <w:sz w:val="24"/>
          <w:szCs w:val="24"/>
        </w:rPr>
        <w:t>combined</w:t>
      </w:r>
      <w:r w:rsidRPr="002D469E">
        <w:rPr>
          <w:rFonts w:ascii="Times New Roman" w:hAnsi="Times New Roman" w:cs="Times New Roman"/>
          <w:sz w:val="24"/>
          <w:szCs w:val="24"/>
        </w:rPr>
        <w:t xml:space="preserve"> with </w:t>
      </w:r>
      <w:r w:rsidR="00E877E1" w:rsidRPr="002D469E">
        <w:rPr>
          <w:rFonts w:ascii="Times New Roman" w:hAnsi="Times New Roman" w:cs="Times New Roman"/>
          <w:sz w:val="24"/>
          <w:szCs w:val="24"/>
        </w:rPr>
        <w:t>robot</w:t>
      </w:r>
      <w:r w:rsidR="00D7053A">
        <w:rPr>
          <w:rFonts w:ascii="Times New Roman" w:hAnsi="Times New Roman" w:cs="Times New Roman"/>
          <w:sz w:val="24"/>
          <w:szCs w:val="24"/>
        </w:rPr>
        <w:t>s</w:t>
      </w:r>
      <w:r w:rsidRPr="002D469E">
        <w:rPr>
          <w:rFonts w:ascii="Times New Roman" w:hAnsi="Times New Roman" w:cs="Times New Roman"/>
          <w:sz w:val="24"/>
          <w:szCs w:val="24"/>
        </w:rPr>
        <w:t xml:space="preserve"> 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</w:p>
    <w:p w14:paraId="0935F666" w14:textId="77777777" w:rsidR="00D35874" w:rsidRPr="002D469E" w:rsidRDefault="00D35874" w:rsidP="00A40D75">
      <w:pPr>
        <w:rPr>
          <w:rFonts w:ascii="Times New Roman" w:hAnsi="Times New Roman" w:cs="Times New Roman"/>
          <w:sz w:val="24"/>
          <w:szCs w:val="24"/>
        </w:rPr>
      </w:pPr>
    </w:p>
    <w:p w14:paraId="514567EB" w14:textId="629B0E2C" w:rsidR="00A40D75" w:rsidRPr="002D469E" w:rsidRDefault="00A40D75">
      <w:pPr>
        <w:rPr>
          <w:rFonts w:ascii="Times New Roman" w:hAnsi="Times New Roman" w:cs="Times New Roman"/>
          <w:sz w:val="24"/>
          <w:szCs w:val="24"/>
        </w:rPr>
      </w:pPr>
    </w:p>
    <w:p w14:paraId="692CFF83" w14:textId="232CF682" w:rsidR="00090D0B" w:rsidRPr="002D469E" w:rsidRDefault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noProof/>
          <w:sz w:val="24"/>
          <w:szCs w:val="24"/>
        </w:rPr>
        <w:drawing>
          <wp:inline distT="0" distB="0" distL="0" distR="0" wp14:anchorId="42F01F4E" wp14:editId="2E757CC1">
            <wp:extent cx="5274310" cy="351599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F7F54" w14:textId="5CF8E188" w:rsidR="00090D0B" w:rsidRPr="002D469E" w:rsidRDefault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>Figure S</w:t>
      </w:r>
      <w:r w:rsidR="00E877E1" w:rsidRPr="002D469E">
        <w:rPr>
          <w:rFonts w:ascii="Times New Roman" w:hAnsi="Times New Roman" w:cs="Times New Roman"/>
          <w:sz w:val="24"/>
          <w:szCs w:val="24"/>
        </w:rPr>
        <w:t>4</w:t>
      </w:r>
      <w:r w:rsidRPr="002D469E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8939355"/>
      <w:r w:rsidRPr="002D469E">
        <w:rPr>
          <w:rFonts w:ascii="Times New Roman" w:hAnsi="Times New Roman" w:cs="Times New Roman"/>
          <w:sz w:val="24"/>
          <w:szCs w:val="24"/>
        </w:rPr>
        <w:t xml:space="preserve">Funnel plot of the subgroup meta-analysis for </w:t>
      </w:r>
      <w:r w:rsidR="00081452" w:rsidRPr="002D469E">
        <w:rPr>
          <w:rFonts w:ascii="Times New Roman" w:hAnsi="Times New Roman" w:cs="Times New Roman"/>
          <w:sz w:val="24"/>
          <w:szCs w:val="24"/>
        </w:rPr>
        <w:t xml:space="preserve">the </w:t>
      </w:r>
      <w:r w:rsidRPr="002D469E">
        <w:rPr>
          <w:rFonts w:ascii="Times New Roman" w:hAnsi="Times New Roman" w:cs="Times New Roman"/>
          <w:sz w:val="24"/>
          <w:szCs w:val="24"/>
        </w:rPr>
        <w:t>effects of BCI</w:t>
      </w:r>
      <w:r w:rsidR="002C57FA" w:rsidRPr="002D469E">
        <w:rPr>
          <w:rFonts w:ascii="Times New Roman" w:hAnsi="Times New Roman" w:cs="Times New Roman"/>
          <w:sz w:val="24"/>
          <w:szCs w:val="24"/>
        </w:rPr>
        <w:t>s</w:t>
      </w:r>
      <w:r w:rsidR="00D35874" w:rsidRPr="002D469E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081452" w:rsidRPr="002D469E">
        <w:rPr>
          <w:rFonts w:ascii="Times New Roman" w:hAnsi="Times New Roman" w:cs="Times New Roman"/>
          <w:sz w:val="24"/>
          <w:szCs w:val="24"/>
        </w:rPr>
        <w:t xml:space="preserve">combined </w:t>
      </w:r>
      <w:r w:rsidR="00D35874" w:rsidRPr="002D469E">
        <w:rPr>
          <w:rFonts w:ascii="Times New Roman" w:hAnsi="Times New Roman" w:cs="Times New Roman"/>
          <w:sz w:val="24"/>
          <w:szCs w:val="24"/>
        </w:rPr>
        <w:t xml:space="preserve">with functional electrical stimulation </w:t>
      </w:r>
      <w:r w:rsidRPr="002D469E">
        <w:rPr>
          <w:rFonts w:ascii="Times New Roman" w:hAnsi="Times New Roman" w:cs="Times New Roman"/>
          <w:sz w:val="24"/>
          <w:szCs w:val="24"/>
        </w:rPr>
        <w:t xml:space="preserve">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</w:p>
    <w:p w14:paraId="628C872E" w14:textId="7F0B1ACE" w:rsidR="00090D0B" w:rsidRPr="002D469E" w:rsidRDefault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noProof/>
          <w:sz w:val="24"/>
          <w:szCs w:val="24"/>
        </w:rPr>
        <w:lastRenderedPageBreak/>
        <w:drawing>
          <wp:inline distT="0" distB="0" distL="0" distR="0" wp14:anchorId="3E904678" wp14:editId="123C0232">
            <wp:extent cx="5274310" cy="35159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E286E" w14:textId="26ECC206" w:rsidR="00090D0B" w:rsidRPr="002D469E" w:rsidRDefault="00090D0B" w:rsidP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>Figure S</w:t>
      </w:r>
      <w:r w:rsidR="00E877E1" w:rsidRPr="002D469E">
        <w:rPr>
          <w:rFonts w:ascii="Times New Roman" w:hAnsi="Times New Roman" w:cs="Times New Roman"/>
          <w:sz w:val="24"/>
          <w:szCs w:val="24"/>
        </w:rPr>
        <w:t>5</w:t>
      </w:r>
      <w:r w:rsidRPr="002D469E">
        <w:rPr>
          <w:rFonts w:ascii="Times New Roman" w:hAnsi="Times New Roman" w:cs="Times New Roman"/>
          <w:sz w:val="24"/>
          <w:szCs w:val="24"/>
        </w:rPr>
        <w:t xml:space="preserve">. Funnel plot of the subgroup meta-analysis for </w:t>
      </w:r>
      <w:r w:rsidR="00081452" w:rsidRPr="002D469E">
        <w:rPr>
          <w:rFonts w:ascii="Times New Roman" w:hAnsi="Times New Roman" w:cs="Times New Roman"/>
          <w:sz w:val="24"/>
          <w:szCs w:val="24"/>
        </w:rPr>
        <w:t xml:space="preserve">the </w:t>
      </w:r>
      <w:r w:rsidRPr="002D469E">
        <w:rPr>
          <w:rFonts w:ascii="Times New Roman" w:hAnsi="Times New Roman" w:cs="Times New Roman"/>
          <w:sz w:val="24"/>
          <w:szCs w:val="24"/>
        </w:rPr>
        <w:t xml:space="preserve">effects </w:t>
      </w:r>
      <w:r w:rsidR="00081452" w:rsidRPr="002D469E">
        <w:rPr>
          <w:rFonts w:ascii="Times New Roman" w:hAnsi="Times New Roman" w:cs="Times New Roman"/>
          <w:sz w:val="24"/>
          <w:szCs w:val="24"/>
        </w:rPr>
        <w:t xml:space="preserve">of </w:t>
      </w:r>
      <w:r w:rsidRPr="002D469E">
        <w:rPr>
          <w:rFonts w:ascii="Times New Roman" w:hAnsi="Times New Roman" w:cs="Times New Roman"/>
          <w:sz w:val="24"/>
          <w:szCs w:val="24"/>
        </w:rPr>
        <w:t>BCI</w:t>
      </w:r>
      <w:r w:rsidR="00081452" w:rsidRPr="002D469E">
        <w:rPr>
          <w:rFonts w:ascii="Times New Roman" w:hAnsi="Times New Roman" w:cs="Times New Roman"/>
          <w:sz w:val="24"/>
          <w:szCs w:val="24"/>
        </w:rPr>
        <w:t>s combined</w:t>
      </w:r>
      <w:r w:rsidRPr="002D469E">
        <w:rPr>
          <w:rFonts w:ascii="Times New Roman" w:hAnsi="Times New Roman" w:cs="Times New Roman"/>
          <w:sz w:val="24"/>
          <w:szCs w:val="24"/>
        </w:rPr>
        <w:t xml:space="preserve"> </w:t>
      </w:r>
      <w:r w:rsidR="00081452" w:rsidRPr="002D469E">
        <w:rPr>
          <w:rFonts w:ascii="Times New Roman" w:hAnsi="Times New Roman" w:cs="Times New Roman"/>
          <w:sz w:val="24"/>
          <w:szCs w:val="24"/>
        </w:rPr>
        <w:t xml:space="preserve">with visual feedback </w:t>
      </w:r>
      <w:r w:rsidRPr="002D469E">
        <w:rPr>
          <w:rFonts w:ascii="Times New Roman" w:hAnsi="Times New Roman" w:cs="Times New Roman"/>
          <w:sz w:val="24"/>
          <w:szCs w:val="24"/>
        </w:rPr>
        <w:t xml:space="preserve">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</w:p>
    <w:p w14:paraId="6FD0424D" w14:textId="238C654E" w:rsidR="00D35874" w:rsidRPr="002D469E" w:rsidRDefault="00D35874" w:rsidP="00090D0B">
      <w:pPr>
        <w:rPr>
          <w:rFonts w:ascii="Times New Roman" w:hAnsi="Times New Roman" w:cs="Times New Roman"/>
          <w:sz w:val="24"/>
          <w:szCs w:val="24"/>
        </w:rPr>
      </w:pPr>
    </w:p>
    <w:p w14:paraId="68103FE1" w14:textId="0CD070B6" w:rsidR="00090D0B" w:rsidRPr="002D469E" w:rsidRDefault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noProof/>
          <w:sz w:val="24"/>
          <w:szCs w:val="24"/>
        </w:rPr>
        <w:drawing>
          <wp:inline distT="0" distB="0" distL="0" distR="0" wp14:anchorId="1A40ED3B" wp14:editId="429943F2">
            <wp:extent cx="5274310" cy="35159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A8C5" w14:textId="0375C349" w:rsidR="00090D0B" w:rsidRPr="00A80BFF" w:rsidRDefault="00090D0B">
      <w:pPr>
        <w:rPr>
          <w:rFonts w:ascii="Times New Roman" w:hAnsi="Times New Roman" w:cs="Times New Roman"/>
          <w:sz w:val="24"/>
          <w:szCs w:val="24"/>
        </w:rPr>
      </w:pPr>
      <w:r w:rsidRPr="002D469E">
        <w:rPr>
          <w:rFonts w:ascii="Times New Roman" w:hAnsi="Times New Roman" w:cs="Times New Roman"/>
          <w:sz w:val="24"/>
          <w:szCs w:val="24"/>
        </w:rPr>
        <w:t>Figure S</w:t>
      </w:r>
      <w:r w:rsidR="00E877E1" w:rsidRPr="002D469E">
        <w:rPr>
          <w:rFonts w:ascii="Times New Roman" w:hAnsi="Times New Roman" w:cs="Times New Roman"/>
          <w:sz w:val="24"/>
          <w:szCs w:val="24"/>
        </w:rPr>
        <w:t>6</w:t>
      </w:r>
      <w:r w:rsidRPr="002D469E">
        <w:rPr>
          <w:rFonts w:ascii="Times New Roman" w:hAnsi="Times New Roman" w:cs="Times New Roman"/>
          <w:sz w:val="24"/>
          <w:szCs w:val="24"/>
        </w:rPr>
        <w:t xml:space="preserve">. Funnel plot of the meta-analysis for the long-term effects </w:t>
      </w:r>
      <w:r w:rsidR="002C57FA" w:rsidRPr="002D469E">
        <w:rPr>
          <w:rFonts w:ascii="Times New Roman" w:hAnsi="Times New Roman" w:cs="Times New Roman"/>
          <w:sz w:val="24"/>
          <w:szCs w:val="24"/>
        </w:rPr>
        <w:t xml:space="preserve">of BCIs </w:t>
      </w:r>
      <w:r w:rsidRPr="002D469E">
        <w:rPr>
          <w:rFonts w:ascii="Times New Roman" w:hAnsi="Times New Roman" w:cs="Times New Roman"/>
          <w:sz w:val="24"/>
          <w:szCs w:val="24"/>
        </w:rPr>
        <w:t xml:space="preserve">on upper </w:t>
      </w:r>
      <w:r w:rsidR="00D7053A">
        <w:rPr>
          <w:rFonts w:ascii="Times New Roman" w:hAnsi="Times New Roman" w:cs="Times New Roman"/>
          <w:sz w:val="24"/>
          <w:szCs w:val="24"/>
        </w:rPr>
        <w:t>extremity</w:t>
      </w:r>
      <w:r w:rsidRPr="002D469E">
        <w:rPr>
          <w:rFonts w:ascii="Times New Roman" w:hAnsi="Times New Roman" w:cs="Times New Roman"/>
          <w:sz w:val="24"/>
          <w:szCs w:val="24"/>
        </w:rPr>
        <w:t xml:space="preserve"> motor function</w:t>
      </w:r>
      <w:r w:rsidR="00A80BFF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90D0B" w:rsidRPr="00A80BFF" w:rsidSect="005E4ABA">
      <w:footerReference w:type="default" r:id="rId12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FDA8D" w14:textId="77777777" w:rsidR="00FF3E82" w:rsidRDefault="00FF3E82" w:rsidP="002D469E">
      <w:pPr>
        <w:spacing w:after="0" w:line="240" w:lineRule="auto"/>
      </w:pPr>
      <w:r>
        <w:separator/>
      </w:r>
    </w:p>
  </w:endnote>
  <w:endnote w:type="continuationSeparator" w:id="0">
    <w:p w14:paraId="0FDED5DD" w14:textId="77777777" w:rsidR="00FF3E82" w:rsidRDefault="00FF3E82" w:rsidP="002D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7346206"/>
      <w:docPartObj>
        <w:docPartGallery w:val="Page Numbers (Bottom of Page)"/>
        <w:docPartUnique/>
      </w:docPartObj>
    </w:sdtPr>
    <w:sdtEndPr/>
    <w:sdtContent>
      <w:p w14:paraId="2E4DBF32" w14:textId="37C88FF6" w:rsidR="002D469E" w:rsidRDefault="002D46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E95CE0C" w14:textId="77777777" w:rsidR="002D469E" w:rsidRDefault="002D46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F123C" w14:textId="77777777" w:rsidR="00FF3E82" w:rsidRDefault="00FF3E82" w:rsidP="002D469E">
      <w:pPr>
        <w:spacing w:after="0" w:line="240" w:lineRule="auto"/>
      </w:pPr>
      <w:r>
        <w:separator/>
      </w:r>
    </w:p>
  </w:footnote>
  <w:footnote w:type="continuationSeparator" w:id="0">
    <w:p w14:paraId="0A2926E2" w14:textId="77777777" w:rsidR="00FF3E82" w:rsidRDefault="00FF3E82" w:rsidP="002D4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63"/>
    <w:rsid w:val="000617E1"/>
    <w:rsid w:val="00081452"/>
    <w:rsid w:val="00090D0B"/>
    <w:rsid w:val="002A3065"/>
    <w:rsid w:val="002C57FA"/>
    <w:rsid w:val="002D469E"/>
    <w:rsid w:val="004463DF"/>
    <w:rsid w:val="005E4ABA"/>
    <w:rsid w:val="00A40D75"/>
    <w:rsid w:val="00A43179"/>
    <w:rsid w:val="00A80BFF"/>
    <w:rsid w:val="00B62F7E"/>
    <w:rsid w:val="00C26147"/>
    <w:rsid w:val="00D35874"/>
    <w:rsid w:val="00D37863"/>
    <w:rsid w:val="00D7053A"/>
    <w:rsid w:val="00E52F6E"/>
    <w:rsid w:val="00E877E1"/>
    <w:rsid w:val="00E94A76"/>
    <w:rsid w:val="00F632D4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0FC6F"/>
  <w15:chartTrackingRefBased/>
  <w15:docId w15:val="{FCA299EF-6D56-4906-94DF-80E8DB7D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6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2D469E"/>
  </w:style>
  <w:style w:type="paragraph" w:styleId="a6">
    <w:name w:val="footer"/>
    <w:basedOn w:val="a"/>
    <w:link w:val="a7"/>
    <w:uiPriority w:val="99"/>
    <w:unhideWhenUsed/>
    <w:rsid w:val="002D46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2D469E"/>
  </w:style>
  <w:style w:type="paragraph" w:styleId="a8">
    <w:name w:val="Balloon Text"/>
    <w:basedOn w:val="a"/>
    <w:link w:val="a9"/>
    <w:uiPriority w:val="99"/>
    <w:semiHidden/>
    <w:unhideWhenUsed/>
    <w:rsid w:val="00A43179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43179"/>
    <w:rPr>
      <w:rFonts w:ascii="Microsoft YaHei UI" w:eastAsia="Microsoft YaHei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 Zhongfei</dc:creator>
  <cp:keywords/>
  <dc:description/>
  <cp:lastModifiedBy>Bai Zhongfei</cp:lastModifiedBy>
  <cp:revision>8</cp:revision>
  <dcterms:created xsi:type="dcterms:W3CDTF">2019-09-09T07:57:00Z</dcterms:created>
  <dcterms:modified xsi:type="dcterms:W3CDTF">2020-01-07T12:26:00Z</dcterms:modified>
</cp:coreProperties>
</file>