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29B26" w14:textId="293EC50F" w:rsidR="002E58D5" w:rsidRDefault="00FB6707" w:rsidP="00D01E83">
      <w:pPr>
        <w:pStyle w:val="Heading2"/>
      </w:pPr>
      <w:r>
        <w:t xml:space="preserve">Examples of </w:t>
      </w:r>
      <w:r w:rsidR="00D01E83">
        <w:t>PKGs and their use in treatment</w:t>
      </w:r>
    </w:p>
    <w:p w14:paraId="54E71E01" w14:textId="69E19492" w:rsidR="009B514D" w:rsidRDefault="00142D4E">
      <w:r>
        <w:t>Two e</w:t>
      </w:r>
      <w:r>
        <w:t>xamples of PKG</w:t>
      </w:r>
      <w:r>
        <w:t xml:space="preserve"> are provided in Fig. S1 and Fig. S2 as examples of fluctuator categories described in the manuscript. The description of each figure is followed by a Clinical Interpretation, which describes the clinical relevance to the treating </w:t>
      </w:r>
      <w:r>
        <w:t>clinician</w:t>
      </w:r>
      <w:r>
        <w:t xml:space="preserve">. </w:t>
      </w:r>
    </w:p>
    <w:p w14:paraId="2383F970" w14:textId="150E8A70" w:rsidR="009B514D" w:rsidRDefault="0026793E" w:rsidP="00277106">
      <w:pPr>
        <w:pStyle w:val="Heading2"/>
      </w:pPr>
      <w:r>
        <w:t xml:space="preserve">Figure </w:t>
      </w:r>
      <w:r w:rsidR="00A23C84">
        <w:t>S</w:t>
      </w:r>
      <w:r>
        <w:t>1</w:t>
      </w:r>
      <w:r w:rsidR="002D7E78">
        <w:t xml:space="preserve"> </w:t>
      </w:r>
    </w:p>
    <w:p w14:paraId="44FB74F9" w14:textId="7E1E59E7" w:rsidR="00AE4D00" w:rsidRDefault="00B90F15">
      <w:r>
        <w:rPr>
          <w:noProof/>
          <w:lang w:val="en-IN" w:eastAsia="en-IN"/>
        </w:rPr>
        <w:drawing>
          <wp:inline distT="0" distB="0" distL="0" distR="0" wp14:anchorId="633567EB" wp14:editId="0A3C99E8">
            <wp:extent cx="5408882" cy="1947863"/>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13442" cy="1949505"/>
                    </a:xfrm>
                    <a:prstGeom prst="rect">
                      <a:avLst/>
                    </a:prstGeom>
                    <a:noFill/>
                    <a:ln>
                      <a:noFill/>
                    </a:ln>
                  </pic:spPr>
                </pic:pic>
              </a:graphicData>
            </a:graphic>
          </wp:inline>
        </w:drawing>
      </w:r>
    </w:p>
    <w:p w14:paraId="39DFF47D" w14:textId="487D8277" w:rsidR="00B55FAE" w:rsidRDefault="00A93C81" w:rsidP="0026793E">
      <w:r>
        <w:t>E</w:t>
      </w:r>
      <w:r w:rsidR="0026793E">
        <w:t xml:space="preserve">xcerpts from two PKGs from the same person before and after changing in therapy to treat bradykinesia. </w:t>
      </w:r>
      <w:r>
        <w:t>T</w:t>
      </w:r>
      <w:r w:rsidR="0026793E">
        <w:t xml:space="preserve">he time of day </w:t>
      </w:r>
      <w:r>
        <w:t xml:space="preserve">is shown </w:t>
      </w:r>
      <w:r w:rsidR="0026793E">
        <w:t xml:space="preserve">at top of </w:t>
      </w:r>
      <w:r>
        <w:t xml:space="preserve">each </w:t>
      </w:r>
      <w:r w:rsidR="0026793E">
        <w:t xml:space="preserve">graph and </w:t>
      </w:r>
      <w:r>
        <w:t xml:space="preserve">the </w:t>
      </w:r>
      <w:r w:rsidR="0026793E">
        <w:t>vertical red lines</w:t>
      </w:r>
      <w:r>
        <w:t xml:space="preserve"> show the time at which a reminder </w:t>
      </w:r>
      <w:r w:rsidR="00781D94">
        <w:t xml:space="preserve">to make medication </w:t>
      </w:r>
      <w:r>
        <w:t>was del</w:t>
      </w:r>
      <w:r w:rsidR="008A1979">
        <w:t>ivered (as a vibration through the wrist worn logger)</w:t>
      </w:r>
      <w:r w:rsidR="0026793E">
        <w:t xml:space="preserve">. </w:t>
      </w:r>
    </w:p>
    <w:p w14:paraId="3D483E24" w14:textId="33EC3A23" w:rsidR="000C79EE" w:rsidRDefault="0026793E" w:rsidP="0026793E">
      <w:r>
        <w:t xml:space="preserve">Bradykinesia is </w:t>
      </w:r>
      <w:r w:rsidR="006D654F">
        <w:t xml:space="preserve">represented by the blue traces, </w:t>
      </w:r>
      <w:r>
        <w:t>with severity increasing from zero to</w:t>
      </w:r>
      <w:r w:rsidR="00B55FAE">
        <w:t>ward the</w:t>
      </w:r>
      <w:r>
        <w:t xml:space="preserve"> bottom of</w:t>
      </w:r>
      <w:r w:rsidR="00B55FAE">
        <w:t xml:space="preserve"> the</w:t>
      </w:r>
      <w:r>
        <w:t xml:space="preserve"> graph</w:t>
      </w:r>
      <w:r w:rsidR="006D654F">
        <w:t xml:space="preserve">. </w:t>
      </w:r>
      <w:r w:rsidR="00AA5FAF">
        <w:t>The numbers on the Y axis indicate the median and 75</w:t>
      </w:r>
      <w:r w:rsidR="00AA5FAF" w:rsidRPr="00AE4D00">
        <w:rPr>
          <w:vertAlign w:val="superscript"/>
        </w:rPr>
        <w:t>th</w:t>
      </w:r>
      <w:r w:rsidR="00AA5FAF">
        <w:t xml:space="preserve"> percentile of BKS (18 and 26) of controls. </w:t>
      </w:r>
      <w:r w:rsidR="006D654F">
        <w:t>The</w:t>
      </w:r>
      <w:r>
        <w:t xml:space="preserve"> target region of good control i</w:t>
      </w:r>
      <w:r w:rsidR="001A1376">
        <w:t>s</w:t>
      </w:r>
      <w:r>
        <w:t xml:space="preserve"> </w:t>
      </w:r>
      <w:r w:rsidR="00B55FAE">
        <w:t xml:space="preserve">shaded in </w:t>
      </w:r>
      <w:r>
        <w:t xml:space="preserve">blue. The heavy blue line </w:t>
      </w:r>
      <w:r w:rsidR="00110A0D">
        <w:t xml:space="preserve">(the </w:t>
      </w:r>
      <w:proofErr w:type="spellStart"/>
      <w:r w:rsidR="00110A0D">
        <w:t>mBKS</w:t>
      </w:r>
      <w:proofErr w:type="spellEnd"/>
      <w:r w:rsidR="00110A0D">
        <w:t xml:space="preserve">) </w:t>
      </w:r>
      <w:r>
        <w:t>is the 50</w:t>
      </w:r>
      <w:r w:rsidRPr="00800936">
        <w:rPr>
          <w:vertAlign w:val="superscript"/>
        </w:rPr>
        <w:t>th</w:t>
      </w:r>
      <w:r>
        <w:t xml:space="preserve"> percentile of </w:t>
      </w:r>
      <w:r w:rsidR="005D676D">
        <w:t xml:space="preserve">the </w:t>
      </w:r>
      <w:r>
        <w:t xml:space="preserve">bradykinesia </w:t>
      </w:r>
      <w:r w:rsidR="005D676D">
        <w:t xml:space="preserve">epochs from </w:t>
      </w:r>
      <w:r>
        <w:t>six days of recording</w:t>
      </w:r>
      <w:r w:rsidR="005D676D">
        <w:t xml:space="preserve">. For example, </w:t>
      </w:r>
      <w:r w:rsidR="00110A0D">
        <w:t xml:space="preserve">when the </w:t>
      </w:r>
      <w:proofErr w:type="spellStart"/>
      <w:r w:rsidR="00110A0D">
        <w:t>mBKS</w:t>
      </w:r>
      <w:proofErr w:type="spellEnd"/>
      <w:r w:rsidR="00110A0D">
        <w:t xml:space="preserve"> crosses the </w:t>
      </w:r>
      <w:r w:rsidR="00255B94">
        <w:t>line indicating BKS=26 at ~ 07:45 in Fig</w:t>
      </w:r>
      <w:r w:rsidR="00B57F84">
        <w:t>.</w:t>
      </w:r>
      <w:r w:rsidR="00255B94">
        <w:t xml:space="preserve"> 1</w:t>
      </w:r>
      <w:r w:rsidR="00BB205E">
        <w:t>a</w:t>
      </w:r>
      <w:r w:rsidR="00820850">
        <w:t xml:space="preserve"> (red arrow), the </w:t>
      </w:r>
      <w:proofErr w:type="spellStart"/>
      <w:r w:rsidR="00820850">
        <w:t>mBKS</w:t>
      </w:r>
      <w:proofErr w:type="spellEnd"/>
      <w:r w:rsidR="00820850">
        <w:t xml:space="preserve"> line is the 50</w:t>
      </w:r>
      <w:r w:rsidR="00820850" w:rsidRPr="00820850">
        <w:rPr>
          <w:vertAlign w:val="superscript"/>
        </w:rPr>
        <w:t>th</w:t>
      </w:r>
      <w:r w:rsidR="00820850">
        <w:t xml:space="preserve"> percentile of the epochs </w:t>
      </w:r>
      <w:r w:rsidR="000063C7">
        <w:t>a</w:t>
      </w:r>
      <w:r w:rsidR="00820850">
        <w:t xml:space="preserve">t that time </w:t>
      </w:r>
      <w:r w:rsidR="000063C7">
        <w:t>after</w:t>
      </w:r>
      <w:r w:rsidR="00820850">
        <w:t xml:space="preserve"> a 30</w:t>
      </w:r>
      <w:r w:rsidR="000063C7">
        <w:t>-</w:t>
      </w:r>
      <w:r w:rsidR="00820850">
        <w:t xml:space="preserve">minute smoothing function </w:t>
      </w:r>
      <w:r w:rsidR="00811503">
        <w:t xml:space="preserve">has been </w:t>
      </w:r>
      <w:r w:rsidR="00820850">
        <w:t>applied. T</w:t>
      </w:r>
      <w:r>
        <w:t>he faint blue lines indicate the 25</w:t>
      </w:r>
      <w:r w:rsidRPr="00AE4D00">
        <w:rPr>
          <w:vertAlign w:val="superscript"/>
        </w:rPr>
        <w:t>th</w:t>
      </w:r>
      <w:r>
        <w:t xml:space="preserve"> and 75</w:t>
      </w:r>
      <w:r w:rsidRPr="00AE4D00">
        <w:rPr>
          <w:vertAlign w:val="superscript"/>
        </w:rPr>
        <w:t>th</w:t>
      </w:r>
      <w:r>
        <w:t xml:space="preserve"> percentiles of </w:t>
      </w:r>
      <w:r w:rsidR="00AA5FAF">
        <w:t>bradykinesia epochs at that time</w:t>
      </w:r>
      <w:r>
        <w:t xml:space="preserve">. A detailed BKS scale is not provided but the UPDRS III at 26 relates to ~30 and the line crossed by the median bradykinesia score at </w:t>
      </w:r>
      <w:r w:rsidR="009D69B9">
        <w:t>the times of the 2</w:t>
      </w:r>
      <w:r w:rsidR="009D69B9" w:rsidRPr="009D69B9">
        <w:rPr>
          <w:vertAlign w:val="superscript"/>
        </w:rPr>
        <w:t>nd</w:t>
      </w:r>
      <w:r w:rsidR="009D69B9">
        <w:t xml:space="preserve"> and 3</w:t>
      </w:r>
      <w:r w:rsidR="009D69B9" w:rsidRPr="009D69B9">
        <w:rPr>
          <w:vertAlign w:val="superscript"/>
        </w:rPr>
        <w:t>rd</w:t>
      </w:r>
      <w:r w:rsidR="009D69B9">
        <w:t xml:space="preserve"> dose </w:t>
      </w:r>
      <w:r w:rsidR="00A149C6">
        <w:t xml:space="preserve">in the PKG </w:t>
      </w:r>
      <w:r w:rsidR="009D69B9">
        <w:t xml:space="preserve">on the left </w:t>
      </w:r>
      <w:r>
        <w:t>corresponds to a UPDRS ~</w:t>
      </w:r>
      <w:r w:rsidR="002E7930">
        <w:t>65</w:t>
      </w:r>
      <w:r>
        <w:t xml:space="preserve">. The rasters at the bottom of each graph show tremor with each line representing a day and the dots indicating a </w:t>
      </w:r>
      <w:r w:rsidR="00811503">
        <w:t>2-minute</w:t>
      </w:r>
      <w:r>
        <w:t xml:space="preserve"> epoch when tremor was present. </w:t>
      </w:r>
      <w:r w:rsidR="00B57F84">
        <w:t xml:space="preserve"> </w:t>
      </w:r>
    </w:p>
    <w:p w14:paraId="08F9A40E" w14:textId="00268FFB" w:rsidR="00891B52" w:rsidRDefault="000C79EE" w:rsidP="0026793E">
      <w:r>
        <w:t>Dyskinesia is shown with severity increasing from zero to top of graph</w:t>
      </w:r>
      <w:r w:rsidR="004D7EBD">
        <w:t>. The numbers on the Y axis indicate the median and 75</w:t>
      </w:r>
      <w:r w:rsidR="004D7EBD" w:rsidRPr="00AE4D00">
        <w:rPr>
          <w:vertAlign w:val="superscript"/>
        </w:rPr>
        <w:t>th</w:t>
      </w:r>
      <w:r w:rsidR="004D7EBD">
        <w:t xml:space="preserve"> percentile of DKS (4.5 and 16) of controls. The</w:t>
      </w:r>
      <w:r>
        <w:t xml:space="preserve"> target region of good control in green. The heavy green line is the 50</w:t>
      </w:r>
      <w:r w:rsidRPr="00800936">
        <w:rPr>
          <w:vertAlign w:val="superscript"/>
        </w:rPr>
        <w:t>th</w:t>
      </w:r>
      <w:r>
        <w:t xml:space="preserve"> percentile of dyskinesia of the six days of recording and the faint green line indicate</w:t>
      </w:r>
      <w:r w:rsidR="002E00C2">
        <w:t>s</w:t>
      </w:r>
      <w:r>
        <w:t xml:space="preserve"> 75</w:t>
      </w:r>
      <w:r w:rsidRPr="00AE4D00">
        <w:rPr>
          <w:vertAlign w:val="superscript"/>
        </w:rPr>
        <w:t>th</w:t>
      </w:r>
      <w:r>
        <w:t xml:space="preserve"> percentiles of the six days (25</w:t>
      </w:r>
      <w:r w:rsidRPr="000E7375">
        <w:rPr>
          <w:vertAlign w:val="superscript"/>
        </w:rPr>
        <w:t>th</w:t>
      </w:r>
      <w:r>
        <w:t xml:space="preserve"> percentile not visible in </w:t>
      </w:r>
      <w:r w:rsidR="000C5151">
        <w:t>Fig.1</w:t>
      </w:r>
      <w:r w:rsidR="00BB205E">
        <w:t>a</w:t>
      </w:r>
      <w:r w:rsidR="000C5151">
        <w:t xml:space="preserve"> but is in F</w:t>
      </w:r>
      <w:r w:rsidR="00F753FC">
        <w:t>ig</w:t>
      </w:r>
      <w:r w:rsidR="000C5151">
        <w:t>.</w:t>
      </w:r>
      <w:r w:rsidR="00F753FC">
        <w:t xml:space="preserve"> </w:t>
      </w:r>
      <w:r w:rsidR="00BB205E">
        <w:t>1b</w:t>
      </w:r>
      <w:r w:rsidR="000C5151">
        <w:t>)</w:t>
      </w:r>
      <w:r>
        <w:t xml:space="preserve">. </w:t>
      </w:r>
      <w:r w:rsidR="00910D93">
        <w:t>Note th</w:t>
      </w:r>
      <w:r w:rsidR="002E00C2">
        <w:t xml:space="preserve">e orange bar </w:t>
      </w:r>
      <w:r w:rsidR="00BD0A92">
        <w:t xml:space="preserve">between 06:00-07:00 in both figures. </w:t>
      </w:r>
      <w:r w:rsidR="00C26E69">
        <w:t>At this time</w:t>
      </w:r>
      <w:r w:rsidR="00453D8A">
        <w:t>,</w:t>
      </w:r>
      <w:r w:rsidR="00C26E69">
        <w:t xml:space="preserve"> the adjusted median DKS indicated that walking </w:t>
      </w:r>
      <w:r w:rsidR="00891B52">
        <w:t>vigorous</w:t>
      </w:r>
      <w:r w:rsidR="003E1D4E">
        <w:t xml:space="preserve"> enough to artifactually increase </w:t>
      </w:r>
      <w:r w:rsidR="00DA18E9">
        <w:t>the median DKS (</w:t>
      </w:r>
      <w:proofErr w:type="spellStart"/>
      <w:r w:rsidR="00DA18E9">
        <w:t>mDKS</w:t>
      </w:r>
      <w:proofErr w:type="spellEnd"/>
      <w:r w:rsidR="00DA18E9">
        <w:t xml:space="preserve">) </w:t>
      </w:r>
      <w:r w:rsidR="00C26E69">
        <w:t xml:space="preserve">was present </w:t>
      </w:r>
      <w:r w:rsidR="00DA18E9">
        <w:t>and so the DKS epochs were removed from plotting at these times</w:t>
      </w:r>
      <w:r w:rsidR="00EE0B27">
        <w:t xml:space="preserve"> (</w:t>
      </w:r>
      <w:r w:rsidR="00345A70">
        <w:t xml:space="preserve">see Lines </w:t>
      </w:r>
      <w:r w:rsidR="00B709B8">
        <w:t>198-216</w:t>
      </w:r>
      <w:r w:rsidR="00EE0B27">
        <w:t xml:space="preserve"> in manuscript).</w:t>
      </w:r>
      <w:r w:rsidR="007968AE">
        <w:t xml:space="preserve"> </w:t>
      </w:r>
    </w:p>
    <w:p w14:paraId="733F6894" w14:textId="19FFE4CF" w:rsidR="0026793E" w:rsidRDefault="000C79EE" w:rsidP="0026793E">
      <w:r>
        <w:t>Clinical interpretation is provided below.</w:t>
      </w:r>
    </w:p>
    <w:p w14:paraId="0A22B1E9" w14:textId="77777777" w:rsidR="00C508A8" w:rsidRDefault="002E7930" w:rsidP="0026793E">
      <w:r w:rsidRPr="002E7930">
        <w:rPr>
          <w:b/>
          <w:bCs/>
        </w:rPr>
        <w:t>Clinical Interpretation</w:t>
      </w:r>
      <w:r>
        <w:t xml:space="preserve">: </w:t>
      </w:r>
    </w:p>
    <w:p w14:paraId="2D1DCB6D" w14:textId="72F0C91E" w:rsidR="00C508A8" w:rsidRDefault="000D5F8D" w:rsidP="0026793E">
      <w:r>
        <w:t>L</w:t>
      </w:r>
      <w:r w:rsidR="00C16FBB">
        <w:t>evodopa</w:t>
      </w:r>
      <w:r>
        <w:t>/</w:t>
      </w:r>
      <w:r w:rsidR="002C1E30">
        <w:t xml:space="preserve">Benserazide </w:t>
      </w:r>
      <w:r>
        <w:t>(200/5)</w:t>
      </w:r>
      <w:r w:rsidR="00C16FBB">
        <w:t xml:space="preserve"> was prescribed for each reminder. </w:t>
      </w:r>
      <w:r w:rsidR="00C508A8">
        <w:t xml:space="preserve">In response to the </w:t>
      </w:r>
      <w:r w:rsidR="00921186">
        <w:t>1st</w:t>
      </w:r>
      <w:r w:rsidR="00C508A8">
        <w:t xml:space="preserve"> dose of levodopa at 6:00, the median BKS reaches target </w:t>
      </w:r>
      <w:r w:rsidR="00921186">
        <w:t xml:space="preserve">for about 30 minutes </w:t>
      </w:r>
      <w:r w:rsidR="00C508A8">
        <w:t>without evidence of associated dyskinesia</w:t>
      </w:r>
      <w:r w:rsidR="00014ABA" w:rsidRPr="00014ABA">
        <w:t xml:space="preserve"> </w:t>
      </w:r>
      <w:r w:rsidR="00014ABA">
        <w:t xml:space="preserve">and </w:t>
      </w:r>
      <w:r w:rsidR="002F44F5">
        <w:t xml:space="preserve">begins to </w:t>
      </w:r>
      <w:r w:rsidR="00014ABA">
        <w:t>wear off in about 3 hours after the dose</w:t>
      </w:r>
      <w:r w:rsidR="00C508A8">
        <w:t>.</w:t>
      </w:r>
      <w:r w:rsidR="007E774E">
        <w:t xml:space="preserve"> Tremor returns about 3 hours after the dose</w:t>
      </w:r>
      <w:r w:rsidR="00921186">
        <w:t xml:space="preserve">. In response to the 2nd dose of levodopa at 10:00, the median </w:t>
      </w:r>
      <w:r w:rsidR="00921186">
        <w:lastRenderedPageBreak/>
        <w:t xml:space="preserve">BKS reaches target </w:t>
      </w:r>
      <w:r w:rsidR="00A72404">
        <w:t xml:space="preserve">more promptly and remains in target </w:t>
      </w:r>
      <w:r w:rsidR="00921186">
        <w:t xml:space="preserve">for about 45 minutes </w:t>
      </w:r>
      <w:r w:rsidR="00014ABA">
        <w:t>without evidence of associated dyskinesia</w:t>
      </w:r>
      <w:r w:rsidR="00D56728">
        <w:t xml:space="preserve">. Wearing </w:t>
      </w:r>
      <w:r w:rsidR="00921186">
        <w:t xml:space="preserve">off </w:t>
      </w:r>
      <w:r w:rsidR="00D56728">
        <w:t xml:space="preserve">occurs earlier </w:t>
      </w:r>
      <w:r w:rsidR="00921186">
        <w:t>in about 2 hours after the dose</w:t>
      </w:r>
      <w:r w:rsidR="00D56728">
        <w:t xml:space="preserve"> at about the same time that tr</w:t>
      </w:r>
      <w:r w:rsidR="00921186">
        <w:t>emor returns.</w:t>
      </w:r>
      <w:r w:rsidR="00366BB7" w:rsidRPr="00366BB7">
        <w:t xml:space="preserve"> </w:t>
      </w:r>
      <w:r w:rsidR="00A44963">
        <w:t xml:space="preserve">After both doses median BKS scores increase to levels corresponding to a UPDRS III&gt;60. </w:t>
      </w:r>
      <w:r w:rsidR="00366BB7">
        <w:t>Based on these two response</w:t>
      </w:r>
      <w:r w:rsidR="00B40BBB">
        <w:t>s,</w:t>
      </w:r>
      <w:r w:rsidR="00366BB7">
        <w:t xml:space="preserve"> this case would be considered a controlled fluctuator with “wearing-off” (</w:t>
      </w:r>
      <w:proofErr w:type="spellStart"/>
      <w:r w:rsidR="00366BB7">
        <w:t>FCwo</w:t>
      </w:r>
      <w:proofErr w:type="spellEnd"/>
      <w:r w:rsidR="00366BB7">
        <w:t>) in the terminology of the accompanying manuscript. The tremor response reflects this pattern.</w:t>
      </w:r>
    </w:p>
    <w:p w14:paraId="17B816A4" w14:textId="76CB2E19" w:rsidR="00A44963" w:rsidRDefault="0026793E" w:rsidP="00A44963">
      <w:r>
        <w:t>The</w:t>
      </w:r>
      <w:r w:rsidR="008433E1">
        <w:t xml:space="preserve"> response to the 3</w:t>
      </w:r>
      <w:r w:rsidR="008433E1" w:rsidRPr="008433E1">
        <w:rPr>
          <w:vertAlign w:val="superscript"/>
        </w:rPr>
        <w:t>rd</w:t>
      </w:r>
      <w:r w:rsidR="008433E1">
        <w:t xml:space="preserve"> dose is not clear cut</w:t>
      </w:r>
      <w:r w:rsidR="00580FFF" w:rsidRPr="00580FFF">
        <w:t xml:space="preserve"> </w:t>
      </w:r>
      <w:r w:rsidR="00580FFF">
        <w:t>and suggests a smaller levodopa response that does not reach target, followed by wearing off.</w:t>
      </w:r>
      <w:r w:rsidR="00A44963">
        <w:t xml:space="preserve"> </w:t>
      </w:r>
      <w:r w:rsidR="003A0355">
        <w:t>However</w:t>
      </w:r>
      <w:r w:rsidR="009D1D28">
        <w:t>,</w:t>
      </w:r>
      <w:r w:rsidR="003A0355">
        <w:t xml:space="preserve"> </w:t>
      </w:r>
      <w:r w:rsidR="00A44963">
        <w:t xml:space="preserve">the tremor </w:t>
      </w:r>
      <w:r w:rsidR="009D1D28">
        <w:t xml:space="preserve">can be used as a </w:t>
      </w:r>
      <w:r w:rsidR="00A44963">
        <w:t xml:space="preserve">guide to each day’s response </w:t>
      </w:r>
      <w:r w:rsidR="00F81B3E">
        <w:t>and shows that the daily variability in response to the 3</w:t>
      </w:r>
      <w:r w:rsidR="00F81B3E" w:rsidRPr="001A3A81">
        <w:rPr>
          <w:vertAlign w:val="superscript"/>
        </w:rPr>
        <w:t>rd</w:t>
      </w:r>
      <w:r w:rsidR="00F81B3E">
        <w:t xml:space="preserve"> dose </w:t>
      </w:r>
      <w:r w:rsidR="00A44963">
        <w:t>i</w:t>
      </w:r>
      <w:r w:rsidR="00F81B3E">
        <w:t>s</w:t>
      </w:r>
      <w:r w:rsidR="0089030C">
        <w:t xml:space="preserve"> obscured by </w:t>
      </w:r>
      <w:r w:rsidR="00A44963">
        <w:t>the median BKS</w:t>
      </w:r>
      <w:r w:rsidR="0089030C">
        <w:t xml:space="preserve"> trace</w:t>
      </w:r>
      <w:r w:rsidR="00A44963">
        <w:t xml:space="preserve">. Examination of the tremor raster reveals that while there is tremor </w:t>
      </w:r>
      <w:r w:rsidR="00C10EBE">
        <w:t xml:space="preserve">usually ceases </w:t>
      </w:r>
      <w:r w:rsidR="00A44963">
        <w:t xml:space="preserve">about 30 minutes after the </w:t>
      </w:r>
      <w:r w:rsidR="00BA2AD9">
        <w:t>2nd</w:t>
      </w:r>
      <w:r w:rsidR="00A44963">
        <w:t xml:space="preserve"> dose, the wearing off is inconsistent: one day (</w:t>
      </w:r>
      <w:proofErr w:type="spellStart"/>
      <w:r w:rsidR="00A44963">
        <w:t>e.g</w:t>
      </w:r>
      <w:proofErr w:type="spellEnd"/>
      <w:r w:rsidR="00A44963">
        <w:t xml:space="preserve"> day 6) there is almost no return of tremor whereas on days 3, 4, 5, and 7, tremor reflected the median BKS response. There appears to be dose failure in response to the second dose on days 3 and 4 (presumably driving the very high 75</w:t>
      </w:r>
      <w:r w:rsidR="00A44963" w:rsidRPr="007D37EE">
        <w:rPr>
          <w:vertAlign w:val="superscript"/>
        </w:rPr>
        <w:t>th</w:t>
      </w:r>
      <w:r w:rsidR="00A44963">
        <w:t xml:space="preserve"> percentile of BKS. </w:t>
      </w:r>
      <w:r w:rsidR="000E0E49">
        <w:t>Further</w:t>
      </w:r>
      <w:r w:rsidR="00A44963">
        <w:t xml:space="preserve"> points to be </w:t>
      </w:r>
      <w:r w:rsidR="000E0E49">
        <w:t>made are</w:t>
      </w:r>
      <w:r w:rsidR="00A44963">
        <w:t>:</w:t>
      </w:r>
    </w:p>
    <w:p w14:paraId="0C494D99" w14:textId="1DF91C52" w:rsidR="00A44963" w:rsidRDefault="00A44963" w:rsidP="00C16FBB">
      <w:pPr>
        <w:pStyle w:val="ListParagraph"/>
        <w:numPr>
          <w:ilvl w:val="0"/>
          <w:numId w:val="1"/>
        </w:numPr>
        <w:ind w:left="426"/>
      </w:pPr>
      <w:r>
        <w:t>Not all cases have tremor (</w:t>
      </w:r>
      <w:r w:rsidR="002C1E30">
        <w:t>e.g.</w:t>
      </w:r>
      <w:r>
        <w:t xml:space="preserve"> Case </w:t>
      </w:r>
      <w:r w:rsidR="000E0E49">
        <w:t>in Fig</w:t>
      </w:r>
      <w:r w:rsidR="00E55329">
        <w:t>.</w:t>
      </w:r>
      <w:r w:rsidR="000E0E49">
        <w:t xml:space="preserve"> 2</w:t>
      </w:r>
      <w:r w:rsidR="00E55329">
        <w:t xml:space="preserve"> below</w:t>
      </w:r>
      <w:r>
        <w:t>)</w:t>
      </w:r>
      <w:r w:rsidR="009D5CC5">
        <w:t>. T</w:t>
      </w:r>
      <w:r>
        <w:t xml:space="preserve">he PKG does have daily plots, which </w:t>
      </w:r>
      <w:r w:rsidR="009D5CC5">
        <w:t xml:space="preserve">are </w:t>
      </w:r>
      <w:r>
        <w:t>interpretated qualitatively</w:t>
      </w:r>
      <w:r w:rsidR="009D5CC5">
        <w:t xml:space="preserve"> but tremor was used here to show daily variability</w:t>
      </w:r>
      <w:r>
        <w:t xml:space="preserve">. </w:t>
      </w:r>
    </w:p>
    <w:p w14:paraId="7332AD03" w14:textId="4238F35B" w:rsidR="00A44963" w:rsidRDefault="00A44963" w:rsidP="00C16FBB">
      <w:pPr>
        <w:pStyle w:val="ListParagraph"/>
        <w:numPr>
          <w:ilvl w:val="0"/>
          <w:numId w:val="1"/>
        </w:numPr>
        <w:ind w:left="426"/>
      </w:pPr>
      <w:r>
        <w:t xml:space="preserve">A score such as the PTB would quantify this variation. Knowing that the PTB is higher than would be expected for a given </w:t>
      </w:r>
      <w:r w:rsidR="00D55D1C">
        <w:t xml:space="preserve">median </w:t>
      </w:r>
      <w:r>
        <w:t xml:space="preserve">BKS would alert the clinician to this variation and the possibility that </w:t>
      </w:r>
      <w:r w:rsidR="00AE5C78">
        <w:t>long-acting</w:t>
      </w:r>
      <w:r>
        <w:t xml:space="preserve"> agents such as D2 agonists may be important or that device assisted therapies are inevitable. </w:t>
      </w:r>
    </w:p>
    <w:p w14:paraId="7A244266" w14:textId="5A5239A6" w:rsidR="00A44963" w:rsidRDefault="00A44963" w:rsidP="00C16FBB">
      <w:pPr>
        <w:pStyle w:val="ListParagraph"/>
        <w:numPr>
          <w:ilvl w:val="0"/>
          <w:numId w:val="1"/>
        </w:numPr>
        <w:ind w:left="426"/>
      </w:pPr>
      <w:r>
        <w:t xml:space="preserve">PwP find </w:t>
      </w:r>
      <w:r w:rsidR="00D87C2B">
        <w:t xml:space="preserve">this type of </w:t>
      </w:r>
      <w:r>
        <w:t>varia</w:t>
      </w:r>
      <w:r w:rsidR="00D87C2B">
        <w:t xml:space="preserve">bility </w:t>
      </w:r>
      <w:r>
        <w:t xml:space="preserve">very challenging to report to the clinician. </w:t>
      </w:r>
    </w:p>
    <w:p w14:paraId="1F7A8A32" w14:textId="14E10725" w:rsidR="00725209" w:rsidRDefault="00B40BBB" w:rsidP="00725209">
      <w:r>
        <w:t xml:space="preserve">The clinical response </w:t>
      </w:r>
      <w:r w:rsidR="00E55329">
        <w:t xml:space="preserve">(Fig 1b) </w:t>
      </w:r>
      <w:r>
        <w:t>was to shorten the interval between levodopa doses</w:t>
      </w:r>
      <w:r w:rsidR="00E55329">
        <w:t>, thus increasing the total number of doses</w:t>
      </w:r>
      <w:r w:rsidR="007E133C">
        <w:t>. Visual inspections shows that</w:t>
      </w:r>
      <w:r w:rsidR="00E55329">
        <w:t xml:space="preserve"> </w:t>
      </w:r>
      <w:r w:rsidR="00777889">
        <w:t>between 09:00 and 18:00</w:t>
      </w:r>
      <w:r w:rsidR="007E133C">
        <w:t xml:space="preserve">a) the </w:t>
      </w:r>
      <w:proofErr w:type="spellStart"/>
      <w:r w:rsidR="007E133C">
        <w:t>mBKS</w:t>
      </w:r>
      <w:proofErr w:type="spellEnd"/>
      <w:r w:rsidR="007E133C">
        <w:t xml:space="preserve"> is </w:t>
      </w:r>
      <w:r w:rsidR="00777889">
        <w:t>in the target range more often; b)</w:t>
      </w:r>
      <w:r w:rsidR="001513AF">
        <w:t xml:space="preserve"> wearing-off is not easily discerned </w:t>
      </w:r>
      <w:r w:rsidR="0093573A">
        <w:t xml:space="preserve">although the tremor score suggest that it is still present; c) the PTB fell from </w:t>
      </w:r>
      <w:r w:rsidR="00776822">
        <w:t xml:space="preserve">82.2% to </w:t>
      </w:r>
      <w:r w:rsidR="00AE5C78">
        <w:t>39.6%.</w:t>
      </w:r>
      <w:r w:rsidR="00777889">
        <w:t xml:space="preserve"> </w:t>
      </w:r>
      <w:r w:rsidR="003D7834">
        <w:t>This subject’s scores are still not yet in target but f</w:t>
      </w:r>
      <w:r w:rsidR="00AE5C78">
        <w:t xml:space="preserve">uture </w:t>
      </w:r>
      <w:r w:rsidR="003D7834">
        <w:t xml:space="preserve">steps in </w:t>
      </w:r>
      <w:r w:rsidR="00AE5C78">
        <w:t>treatment</w:t>
      </w:r>
      <w:r w:rsidR="008C42C6">
        <w:t xml:space="preserve"> (subject always to other factors including contraindications) </w:t>
      </w:r>
      <w:r w:rsidR="00CA368C">
        <w:t>might</w:t>
      </w:r>
      <w:r w:rsidR="009316EF">
        <w:t xml:space="preserve"> favour</w:t>
      </w:r>
      <w:r w:rsidR="008C42C6">
        <w:t xml:space="preserve"> addition of a </w:t>
      </w:r>
      <w:r w:rsidR="00494BD9">
        <w:t>long-acting</w:t>
      </w:r>
      <w:r w:rsidR="008C42C6">
        <w:t xml:space="preserve"> agent </w:t>
      </w:r>
      <w:r w:rsidR="009316EF">
        <w:t>(D2 agonist) because of the concerns about uncertain absorption (</w:t>
      </w:r>
      <w:r w:rsidR="00CA368C">
        <w:t>dose 3, Fig. 1b).</w:t>
      </w:r>
    </w:p>
    <w:p w14:paraId="52A4D087" w14:textId="49DE797F" w:rsidR="00D87C2B" w:rsidRDefault="00D87C2B" w:rsidP="00D87C2B">
      <w:pPr>
        <w:pStyle w:val="Heading2"/>
      </w:pPr>
      <w:r>
        <w:t xml:space="preserve">Figure </w:t>
      </w:r>
      <w:r w:rsidR="00A23C84">
        <w:t>S</w:t>
      </w:r>
      <w:r w:rsidR="0030385B">
        <w:t>2</w:t>
      </w:r>
    </w:p>
    <w:p w14:paraId="7108A218" w14:textId="2A096E99" w:rsidR="0026793E" w:rsidRDefault="00F92128">
      <w:r>
        <w:rPr>
          <w:noProof/>
          <w:lang w:val="en-IN" w:eastAsia="en-IN"/>
        </w:rPr>
        <w:drawing>
          <wp:inline distT="0" distB="0" distL="0" distR="0" wp14:anchorId="5918A9D7" wp14:editId="698759F9">
            <wp:extent cx="2638249" cy="1800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42496" cy="1803123"/>
                    </a:xfrm>
                    <a:prstGeom prst="rect">
                      <a:avLst/>
                    </a:prstGeom>
                    <a:noFill/>
                    <a:ln>
                      <a:noFill/>
                    </a:ln>
                  </pic:spPr>
                </pic:pic>
              </a:graphicData>
            </a:graphic>
          </wp:inline>
        </w:drawing>
      </w:r>
    </w:p>
    <w:p w14:paraId="2AB25214" w14:textId="5F234C84" w:rsidR="007D37EE" w:rsidRDefault="00AE4D00" w:rsidP="004F415B">
      <w:r>
        <w:t xml:space="preserve">Excerpts from </w:t>
      </w:r>
      <w:r w:rsidR="0030385B">
        <w:t>a</w:t>
      </w:r>
      <w:r>
        <w:t xml:space="preserve"> PKG</w:t>
      </w:r>
      <w:r w:rsidR="0062399F">
        <w:t xml:space="preserve"> of a subject taking 4 dose of</w:t>
      </w:r>
      <w:r w:rsidR="000D5F8D">
        <w:t xml:space="preserve"> </w:t>
      </w:r>
      <w:r w:rsidR="0062399F">
        <w:t>levodopa/</w:t>
      </w:r>
      <w:r w:rsidR="000D5F8D">
        <w:t>carbid</w:t>
      </w:r>
      <w:r w:rsidR="00CA368C">
        <w:t>opa</w:t>
      </w:r>
      <w:r w:rsidR="000D5F8D">
        <w:t xml:space="preserve"> (100/25)</w:t>
      </w:r>
      <w:r w:rsidR="00F3706C">
        <w:t xml:space="preserve">. The scales and </w:t>
      </w:r>
      <w:r w:rsidR="004F415B">
        <w:t>targets</w:t>
      </w:r>
      <w:r w:rsidR="00F3706C">
        <w:t xml:space="preserve"> are </w:t>
      </w:r>
      <w:r w:rsidR="004F415B">
        <w:t xml:space="preserve">as </w:t>
      </w:r>
      <w:r w:rsidR="00F3706C">
        <w:t xml:space="preserve">described </w:t>
      </w:r>
      <w:r w:rsidR="004F415B">
        <w:t>in Figure 1.</w:t>
      </w:r>
      <w:r>
        <w:t xml:space="preserve"> The heavy green line is the </w:t>
      </w:r>
      <w:r w:rsidR="00800936">
        <w:t>50</w:t>
      </w:r>
      <w:r w:rsidR="00800936" w:rsidRPr="00800936">
        <w:rPr>
          <w:vertAlign w:val="superscript"/>
        </w:rPr>
        <w:t>th</w:t>
      </w:r>
      <w:r w:rsidR="00800936">
        <w:t xml:space="preserve"> percentile</w:t>
      </w:r>
      <w:r>
        <w:t xml:space="preserve"> of dyskinesia </w:t>
      </w:r>
      <w:r w:rsidR="00625B54">
        <w:t>epochs</w:t>
      </w:r>
      <w:r>
        <w:t xml:space="preserve"> </w:t>
      </w:r>
      <w:r w:rsidR="00800936">
        <w:t>(</w:t>
      </w:r>
      <w:r w:rsidR="006D5086">
        <w:t>see labels following 4</w:t>
      </w:r>
      <w:r w:rsidR="006D5086" w:rsidRPr="006D5086">
        <w:rPr>
          <w:vertAlign w:val="superscript"/>
        </w:rPr>
        <w:t>th</w:t>
      </w:r>
      <w:r w:rsidR="006D5086">
        <w:t xml:space="preserve"> dose)</w:t>
      </w:r>
      <w:r w:rsidR="00800936">
        <w:t xml:space="preserve"> </w:t>
      </w:r>
      <w:r>
        <w:t>and the faint green lines indicate the 25</w:t>
      </w:r>
      <w:r w:rsidRPr="00AE4D00">
        <w:rPr>
          <w:vertAlign w:val="superscript"/>
        </w:rPr>
        <w:t>th</w:t>
      </w:r>
      <w:r>
        <w:t xml:space="preserve"> and 75</w:t>
      </w:r>
      <w:r w:rsidRPr="00AE4D00">
        <w:rPr>
          <w:vertAlign w:val="superscript"/>
        </w:rPr>
        <w:t>th</w:t>
      </w:r>
      <w:r>
        <w:t xml:space="preserve"> percentiles of the </w:t>
      </w:r>
      <w:r w:rsidR="006D5086">
        <w:t>dyskinesia epochs</w:t>
      </w:r>
      <w:r>
        <w:t xml:space="preserve">. </w:t>
      </w:r>
      <w:r w:rsidR="006D5086">
        <w:t xml:space="preserve">There is </w:t>
      </w:r>
      <w:r w:rsidR="00EE3A14">
        <w:t>very little tremor except for ~ 30 minutes around the time of the 4</w:t>
      </w:r>
      <w:r w:rsidR="00EE3A14" w:rsidRPr="00EE3A14">
        <w:rPr>
          <w:vertAlign w:val="superscript"/>
        </w:rPr>
        <w:t>th</w:t>
      </w:r>
      <w:r w:rsidR="00EE3A14">
        <w:t xml:space="preserve"> dose.</w:t>
      </w:r>
    </w:p>
    <w:p w14:paraId="494DAC1F" w14:textId="77777777" w:rsidR="004F415B" w:rsidRDefault="004F415B" w:rsidP="004F415B">
      <w:r w:rsidRPr="002E7930">
        <w:rPr>
          <w:b/>
          <w:bCs/>
        </w:rPr>
        <w:t>Clinical Interpretation</w:t>
      </w:r>
      <w:r>
        <w:t xml:space="preserve">: </w:t>
      </w:r>
    </w:p>
    <w:p w14:paraId="0916157D" w14:textId="03417506" w:rsidR="00585E15" w:rsidRDefault="00A921A7" w:rsidP="000D0503">
      <w:r>
        <w:lastRenderedPageBreak/>
        <w:t>T</w:t>
      </w:r>
      <w:r w:rsidR="00915335">
        <w:t xml:space="preserve">he median BKS </w:t>
      </w:r>
      <w:r w:rsidR="008A3978">
        <w:t>was out of target</w:t>
      </w:r>
      <w:r>
        <w:t xml:space="preserve"> at the time of </w:t>
      </w:r>
      <w:r w:rsidR="009116F3">
        <w:t>all</w:t>
      </w:r>
      <w:r>
        <w:t xml:space="preserve"> dose</w:t>
      </w:r>
      <w:r w:rsidR="005834EF">
        <w:t>s</w:t>
      </w:r>
      <w:r w:rsidR="009116F3">
        <w:t xml:space="preserve"> (with possible exception of the 1</w:t>
      </w:r>
      <w:r w:rsidR="009116F3" w:rsidRPr="009116F3">
        <w:rPr>
          <w:vertAlign w:val="superscript"/>
        </w:rPr>
        <w:t>st</w:t>
      </w:r>
      <w:r w:rsidR="009116F3">
        <w:t xml:space="preserve"> dose)</w:t>
      </w:r>
      <w:r>
        <w:t xml:space="preserve"> and promptly (30 minutes) moved into target with </w:t>
      </w:r>
      <w:r w:rsidR="002D3D5F">
        <w:t>accompanying</w:t>
      </w:r>
      <w:r>
        <w:t xml:space="preserve"> elevated </w:t>
      </w:r>
      <w:r w:rsidR="002D3D5F">
        <w:t xml:space="preserve">median </w:t>
      </w:r>
      <w:r>
        <w:t xml:space="preserve">DKS. </w:t>
      </w:r>
      <w:r w:rsidR="00537DB9">
        <w:t xml:space="preserve">The median BKS </w:t>
      </w:r>
      <w:r w:rsidR="005834EF">
        <w:t xml:space="preserve">wore-off </w:t>
      </w:r>
      <w:proofErr w:type="gramStart"/>
      <w:r w:rsidR="005834EF">
        <w:t xml:space="preserve">abruptly </w:t>
      </w:r>
      <w:r w:rsidR="00537DB9">
        <w:t xml:space="preserve"> </w:t>
      </w:r>
      <w:r w:rsidR="000F22FC">
        <w:t>~</w:t>
      </w:r>
      <w:proofErr w:type="gramEnd"/>
      <w:r w:rsidR="000F22FC">
        <w:t xml:space="preserve">3 hours 45 minutes after </w:t>
      </w:r>
      <w:r w:rsidR="00B05B71">
        <w:t>each</w:t>
      </w:r>
      <w:r w:rsidR="000F22FC">
        <w:t xml:space="preserve"> dose</w:t>
      </w:r>
      <w:r w:rsidR="00A8592C">
        <w:t xml:space="preserve"> to the same level as prior to the first dose. </w:t>
      </w:r>
      <w:r w:rsidR="00D33599">
        <w:t>Note that following the 1</w:t>
      </w:r>
      <w:r w:rsidR="00D33599" w:rsidRPr="00D33599">
        <w:rPr>
          <w:vertAlign w:val="superscript"/>
        </w:rPr>
        <w:t>st</w:t>
      </w:r>
      <w:r w:rsidR="00D33599">
        <w:t xml:space="preserve"> dose </w:t>
      </w:r>
      <w:r w:rsidR="00C91D66">
        <w:t>the 25</w:t>
      </w:r>
      <w:r w:rsidR="00C91D66" w:rsidRPr="00C91D66">
        <w:rPr>
          <w:vertAlign w:val="superscript"/>
        </w:rPr>
        <w:t>th</w:t>
      </w:r>
      <w:r w:rsidR="00C91D66">
        <w:t xml:space="preserve"> and 75</w:t>
      </w:r>
      <w:r w:rsidR="00C91D66" w:rsidRPr="00C91D66">
        <w:rPr>
          <w:vertAlign w:val="superscript"/>
        </w:rPr>
        <w:t>th</w:t>
      </w:r>
      <w:r w:rsidR="00C91D66">
        <w:t xml:space="preserve"> percentiles are close to the mean</w:t>
      </w:r>
      <w:r w:rsidR="00585E15">
        <w:t xml:space="preserve"> </w:t>
      </w:r>
      <w:r w:rsidR="00C91D66">
        <w:t>suggesting little variation</w:t>
      </w:r>
      <w:r w:rsidR="0044714C">
        <w:t xml:space="preserve"> from day to day</w:t>
      </w:r>
      <w:r w:rsidR="00883F3A">
        <w:t>.  T</w:t>
      </w:r>
      <w:r w:rsidR="0044714C">
        <w:t xml:space="preserve">his contrast with </w:t>
      </w:r>
      <w:r w:rsidR="00585E15">
        <w:t xml:space="preserve">the </w:t>
      </w:r>
      <w:r w:rsidR="00F81FE3">
        <w:t>3rd</w:t>
      </w:r>
      <w:r w:rsidR="00585E15">
        <w:t xml:space="preserve"> dose, </w:t>
      </w:r>
      <w:r w:rsidR="003958EF">
        <w:t xml:space="preserve">where </w:t>
      </w:r>
      <w:r w:rsidR="00585E15">
        <w:t>the 25</w:t>
      </w:r>
      <w:r w:rsidR="00585E15" w:rsidRPr="004101AC">
        <w:rPr>
          <w:vertAlign w:val="superscript"/>
        </w:rPr>
        <w:t>th</w:t>
      </w:r>
      <w:r w:rsidR="00585E15">
        <w:t xml:space="preserve"> percentile of median BKS is below target and the 25</w:t>
      </w:r>
      <w:r w:rsidR="00585E15" w:rsidRPr="004101AC">
        <w:rPr>
          <w:vertAlign w:val="superscript"/>
        </w:rPr>
        <w:t>th</w:t>
      </w:r>
      <w:r w:rsidR="00585E15">
        <w:t xml:space="preserve"> percentile of DKS is also within target</w:t>
      </w:r>
      <w:r w:rsidR="003958EF">
        <w:t xml:space="preserve"> su</w:t>
      </w:r>
      <w:r w:rsidR="00585E15">
        <w:t>ggest</w:t>
      </w:r>
      <w:r w:rsidR="00883F3A">
        <w:t>ing</w:t>
      </w:r>
      <w:r w:rsidR="00585E15">
        <w:t xml:space="preserve"> that on at least 2 days the response to this dose was not adequate to</w:t>
      </w:r>
      <w:r w:rsidR="00F2109C">
        <w:t xml:space="preserve"> put the median BKS into target</w:t>
      </w:r>
      <w:r w:rsidR="00F81FE3">
        <w:t xml:space="preserve"> </w:t>
      </w:r>
      <w:r w:rsidR="00692C1C">
        <w:t>or to cause dyskinesia</w:t>
      </w:r>
      <w:r w:rsidR="00883F3A">
        <w:t xml:space="preserve"> (i.e. dose </w:t>
      </w:r>
      <w:r w:rsidR="0056486A">
        <w:t>variability/failure on some days)</w:t>
      </w:r>
      <w:r w:rsidR="00F2109C">
        <w:t xml:space="preserve">. A PTB and PTD score would help </w:t>
      </w:r>
      <w:r w:rsidR="008D5887">
        <w:t>interpret</w:t>
      </w:r>
      <w:r w:rsidR="00F2109C">
        <w:t xml:space="preserve"> the variability of this response. </w:t>
      </w:r>
      <w:r w:rsidR="004F415B">
        <w:t xml:space="preserve"> </w:t>
      </w:r>
    </w:p>
    <w:p w14:paraId="3121AF32" w14:textId="14F2B3AB" w:rsidR="00F81403" w:rsidRDefault="00B72E59" w:rsidP="000D0503">
      <w:r>
        <w:t>The clinical</w:t>
      </w:r>
      <w:r w:rsidR="00494BD9">
        <w:t>ly</w:t>
      </w:r>
      <w:r>
        <w:t xml:space="preserve"> relevant points here are that </w:t>
      </w:r>
      <w:r w:rsidR="00A8641A">
        <w:t>a relatively small d</w:t>
      </w:r>
      <w:r w:rsidR="00494BD9">
        <w:t>o</w:t>
      </w:r>
      <w:r w:rsidR="00A8641A">
        <w:t xml:space="preserve">se of levodopa (100mg) is producing dyskinesia but </w:t>
      </w:r>
      <w:r w:rsidR="00692C1C">
        <w:t>th</w:t>
      </w:r>
      <w:r w:rsidR="0078691E">
        <w:t xml:space="preserve">e duration of </w:t>
      </w:r>
      <w:r w:rsidR="00A8641A">
        <w:t xml:space="preserve">benefit of </w:t>
      </w:r>
      <w:r w:rsidR="0078691E">
        <w:t xml:space="preserve">levodopa is </w:t>
      </w:r>
      <w:r w:rsidR="00222546">
        <w:t>less than 3 hour</w:t>
      </w:r>
      <w:r w:rsidR="00CD45E6">
        <w:t>s</w:t>
      </w:r>
      <w:r w:rsidR="00F2109C">
        <w:t xml:space="preserve">. </w:t>
      </w:r>
      <w:r w:rsidR="00355DA0">
        <w:t>A</w:t>
      </w:r>
      <w:r w:rsidR="00CD45E6">
        <w:t xml:space="preserve"> reduction in levodopa </w:t>
      </w:r>
      <w:r w:rsidR="00355DA0">
        <w:t xml:space="preserve">is needed to address </w:t>
      </w:r>
      <w:r w:rsidR="00CD45E6">
        <w:t xml:space="preserve">the </w:t>
      </w:r>
      <w:r w:rsidR="000C26BE">
        <w:t xml:space="preserve">peak dose dyskinesia but </w:t>
      </w:r>
      <w:r w:rsidR="00C309C0">
        <w:t xml:space="preserve">either a reduction of the dose interval or the addition of a D2 agonist is required to </w:t>
      </w:r>
      <w:r w:rsidR="000C26BE">
        <w:t xml:space="preserve">address the bradykinesia caused by wearing-off. </w:t>
      </w:r>
      <w:r w:rsidR="00612BD9">
        <w:t>Noting that d</w:t>
      </w:r>
      <w:r w:rsidR="00203714">
        <w:t xml:space="preserve">osing intervals of </w:t>
      </w:r>
      <w:r w:rsidR="00612BD9">
        <w:t>2½ hourly</w:t>
      </w:r>
      <w:r w:rsidR="00203714">
        <w:t xml:space="preserve"> frequency are </w:t>
      </w:r>
      <w:r w:rsidR="00612BD9">
        <w:t xml:space="preserve">onerous, there appears to be variable absorption and </w:t>
      </w:r>
      <w:r w:rsidR="00D70977">
        <w:t xml:space="preserve">the transition to “off” is abrupt all point to the </w:t>
      </w:r>
      <w:r w:rsidR="00F81403">
        <w:t>consideration of an advanced therapy.</w:t>
      </w:r>
      <w:r w:rsidR="00E92D0C">
        <w:t xml:space="preserve"> </w:t>
      </w:r>
      <w:r w:rsidR="00812EBE">
        <w:t xml:space="preserve">The PTD in this case is 44% and the </w:t>
      </w:r>
      <w:r w:rsidR="00EA682F">
        <w:t>PTB is 42%.</w:t>
      </w:r>
      <w:r w:rsidR="00F81403">
        <w:t xml:space="preserve"> </w:t>
      </w:r>
    </w:p>
    <w:p w14:paraId="12D29C41" w14:textId="45B32972" w:rsidR="004101AC" w:rsidRDefault="004101AC" w:rsidP="000D0503"/>
    <w:sectPr w:rsidR="004101AC" w:rsidSect="00F669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32119"/>
    <w:multiLevelType w:val="hybridMultilevel"/>
    <w:tmpl w:val="F9F4A1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D00"/>
    <w:rsid w:val="000063C7"/>
    <w:rsid w:val="00014ABA"/>
    <w:rsid w:val="000C26BE"/>
    <w:rsid w:val="000C5151"/>
    <w:rsid w:val="000C79EE"/>
    <w:rsid w:val="000D0503"/>
    <w:rsid w:val="000D5F8D"/>
    <w:rsid w:val="000E0E49"/>
    <w:rsid w:val="000E7375"/>
    <w:rsid w:val="000F22FC"/>
    <w:rsid w:val="001038EC"/>
    <w:rsid w:val="00110A0D"/>
    <w:rsid w:val="00123E26"/>
    <w:rsid w:val="00142D4E"/>
    <w:rsid w:val="001513AF"/>
    <w:rsid w:val="001A1376"/>
    <w:rsid w:val="001A3A81"/>
    <w:rsid w:val="001B2F20"/>
    <w:rsid w:val="00203714"/>
    <w:rsid w:val="00222546"/>
    <w:rsid w:val="00255B94"/>
    <w:rsid w:val="0026793E"/>
    <w:rsid w:val="00277106"/>
    <w:rsid w:val="002C1E30"/>
    <w:rsid w:val="002D3D5F"/>
    <w:rsid w:val="002D5B9F"/>
    <w:rsid w:val="002D7E78"/>
    <w:rsid w:val="002E00C2"/>
    <w:rsid w:val="002E58D5"/>
    <w:rsid w:val="002E59A0"/>
    <w:rsid w:val="002E7930"/>
    <w:rsid w:val="002F44F5"/>
    <w:rsid w:val="0030385B"/>
    <w:rsid w:val="00312386"/>
    <w:rsid w:val="00321686"/>
    <w:rsid w:val="00325A61"/>
    <w:rsid w:val="00345A70"/>
    <w:rsid w:val="00355DA0"/>
    <w:rsid w:val="00366BB7"/>
    <w:rsid w:val="00393042"/>
    <w:rsid w:val="003958EF"/>
    <w:rsid w:val="003A0355"/>
    <w:rsid w:val="003A07B6"/>
    <w:rsid w:val="003D7834"/>
    <w:rsid w:val="003E1D4E"/>
    <w:rsid w:val="003E533D"/>
    <w:rsid w:val="003F7BC1"/>
    <w:rsid w:val="00402E0B"/>
    <w:rsid w:val="004101AC"/>
    <w:rsid w:val="00417EC0"/>
    <w:rsid w:val="00445B36"/>
    <w:rsid w:val="0044714C"/>
    <w:rsid w:val="00453D8A"/>
    <w:rsid w:val="0047399D"/>
    <w:rsid w:val="00494BD9"/>
    <w:rsid w:val="004A7EE3"/>
    <w:rsid w:val="004D7EBD"/>
    <w:rsid w:val="004F1DE6"/>
    <w:rsid w:val="004F415B"/>
    <w:rsid w:val="00537DB9"/>
    <w:rsid w:val="0056486A"/>
    <w:rsid w:val="00573157"/>
    <w:rsid w:val="00580FFF"/>
    <w:rsid w:val="005834EF"/>
    <w:rsid w:val="00585E15"/>
    <w:rsid w:val="005A6023"/>
    <w:rsid w:val="005D676D"/>
    <w:rsid w:val="005E29E4"/>
    <w:rsid w:val="005E6123"/>
    <w:rsid w:val="00607311"/>
    <w:rsid w:val="00612BD9"/>
    <w:rsid w:val="0062399F"/>
    <w:rsid w:val="00625B54"/>
    <w:rsid w:val="006331A0"/>
    <w:rsid w:val="006446ED"/>
    <w:rsid w:val="00661472"/>
    <w:rsid w:val="00666D35"/>
    <w:rsid w:val="00692C1C"/>
    <w:rsid w:val="006D5086"/>
    <w:rsid w:val="006D654F"/>
    <w:rsid w:val="00700795"/>
    <w:rsid w:val="00725209"/>
    <w:rsid w:val="00731CE2"/>
    <w:rsid w:val="00776822"/>
    <w:rsid w:val="00777889"/>
    <w:rsid w:val="00781D94"/>
    <w:rsid w:val="0078691E"/>
    <w:rsid w:val="007968AE"/>
    <w:rsid w:val="007A025F"/>
    <w:rsid w:val="007A53DC"/>
    <w:rsid w:val="007D37EE"/>
    <w:rsid w:val="007E133C"/>
    <w:rsid w:val="007E774E"/>
    <w:rsid w:val="00800936"/>
    <w:rsid w:val="00806459"/>
    <w:rsid w:val="00811503"/>
    <w:rsid w:val="00812EBE"/>
    <w:rsid w:val="00820850"/>
    <w:rsid w:val="008433E1"/>
    <w:rsid w:val="00851DA9"/>
    <w:rsid w:val="00863381"/>
    <w:rsid w:val="00883F3A"/>
    <w:rsid w:val="0089030C"/>
    <w:rsid w:val="00891B52"/>
    <w:rsid w:val="008A1979"/>
    <w:rsid w:val="008A3978"/>
    <w:rsid w:val="008C42C6"/>
    <w:rsid w:val="008D5887"/>
    <w:rsid w:val="00910D93"/>
    <w:rsid w:val="009116F3"/>
    <w:rsid w:val="00915335"/>
    <w:rsid w:val="00920EC0"/>
    <w:rsid w:val="00921186"/>
    <w:rsid w:val="0092607B"/>
    <w:rsid w:val="009316EF"/>
    <w:rsid w:val="0093573A"/>
    <w:rsid w:val="009701D2"/>
    <w:rsid w:val="00972D4A"/>
    <w:rsid w:val="00974747"/>
    <w:rsid w:val="009B514D"/>
    <w:rsid w:val="009D176C"/>
    <w:rsid w:val="009D1D28"/>
    <w:rsid w:val="009D275C"/>
    <w:rsid w:val="009D5CC5"/>
    <w:rsid w:val="009D69B9"/>
    <w:rsid w:val="00A11498"/>
    <w:rsid w:val="00A149C6"/>
    <w:rsid w:val="00A23C84"/>
    <w:rsid w:val="00A44963"/>
    <w:rsid w:val="00A461B0"/>
    <w:rsid w:val="00A569FD"/>
    <w:rsid w:val="00A72404"/>
    <w:rsid w:val="00A8592C"/>
    <w:rsid w:val="00A85D49"/>
    <w:rsid w:val="00A8641A"/>
    <w:rsid w:val="00A921A7"/>
    <w:rsid w:val="00A93C81"/>
    <w:rsid w:val="00AA5FAF"/>
    <w:rsid w:val="00AC3828"/>
    <w:rsid w:val="00AC4796"/>
    <w:rsid w:val="00AD405F"/>
    <w:rsid w:val="00AD62E8"/>
    <w:rsid w:val="00AE4D00"/>
    <w:rsid w:val="00AE5C78"/>
    <w:rsid w:val="00B01AEB"/>
    <w:rsid w:val="00B05B71"/>
    <w:rsid w:val="00B07DFE"/>
    <w:rsid w:val="00B40BBB"/>
    <w:rsid w:val="00B55FAE"/>
    <w:rsid w:val="00B57F84"/>
    <w:rsid w:val="00B64A3F"/>
    <w:rsid w:val="00B709B8"/>
    <w:rsid w:val="00B72E59"/>
    <w:rsid w:val="00B74D6A"/>
    <w:rsid w:val="00B90F15"/>
    <w:rsid w:val="00B9285A"/>
    <w:rsid w:val="00BA279C"/>
    <w:rsid w:val="00BA2AD9"/>
    <w:rsid w:val="00BB205E"/>
    <w:rsid w:val="00BD0A92"/>
    <w:rsid w:val="00C10EBE"/>
    <w:rsid w:val="00C16FBB"/>
    <w:rsid w:val="00C23CDB"/>
    <w:rsid w:val="00C26E69"/>
    <w:rsid w:val="00C309C0"/>
    <w:rsid w:val="00C427F5"/>
    <w:rsid w:val="00C508A8"/>
    <w:rsid w:val="00C91D66"/>
    <w:rsid w:val="00C94D59"/>
    <w:rsid w:val="00CA368C"/>
    <w:rsid w:val="00CB2E76"/>
    <w:rsid w:val="00CD45E6"/>
    <w:rsid w:val="00CF6C72"/>
    <w:rsid w:val="00D01E83"/>
    <w:rsid w:val="00D33599"/>
    <w:rsid w:val="00D337E2"/>
    <w:rsid w:val="00D51C62"/>
    <w:rsid w:val="00D55D1C"/>
    <w:rsid w:val="00D56728"/>
    <w:rsid w:val="00D56D25"/>
    <w:rsid w:val="00D70977"/>
    <w:rsid w:val="00D7107B"/>
    <w:rsid w:val="00D87C2B"/>
    <w:rsid w:val="00D9133C"/>
    <w:rsid w:val="00DA18E9"/>
    <w:rsid w:val="00E55329"/>
    <w:rsid w:val="00E5708E"/>
    <w:rsid w:val="00E878CC"/>
    <w:rsid w:val="00E9165E"/>
    <w:rsid w:val="00E92D0C"/>
    <w:rsid w:val="00EA682F"/>
    <w:rsid w:val="00ED15CC"/>
    <w:rsid w:val="00EE0B27"/>
    <w:rsid w:val="00EE3A14"/>
    <w:rsid w:val="00F02089"/>
    <w:rsid w:val="00F2109C"/>
    <w:rsid w:val="00F25BA0"/>
    <w:rsid w:val="00F34D41"/>
    <w:rsid w:val="00F3706C"/>
    <w:rsid w:val="00F63D51"/>
    <w:rsid w:val="00F66933"/>
    <w:rsid w:val="00F753FC"/>
    <w:rsid w:val="00F81403"/>
    <w:rsid w:val="00F81B3E"/>
    <w:rsid w:val="00F81FE3"/>
    <w:rsid w:val="00F92128"/>
    <w:rsid w:val="00FA68FA"/>
    <w:rsid w:val="00FB3CFA"/>
    <w:rsid w:val="00FB67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DD569"/>
  <w15:chartTrackingRefBased/>
  <w15:docId w15:val="{981DBFEB-63FD-4264-8073-2FAE8A153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n-AU" w:eastAsia="en-US" w:bidi="ar-SA"/>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iPriority="0" w:unhideWhenUsed="1" w:qFormat="1"/>
    <w:lsdException w:name="caption" w:uiPriority="35" w:qFormat="1"/>
    <w:lsdException w:name="footnote reference" w:semiHidden="1" w:uiPriority="0" w:unhideWhenUsed="1"/>
    <w:lsdException w:name="annotation reference" w:semiHidden="1" w:unhideWhenUsed="1"/>
    <w:lsdException w:name="line number" w:semiHidden="1" w:unhideWhenUsed="1"/>
    <w:lsdException w:name="Title" w:uiPriority="0" w:qFormat="1"/>
    <w:lsdException w:name="Default Paragraph Font" w:semiHidden="1" w:uiPriority="1" w:unhideWhenUsed="1"/>
    <w:lsdException w:name="Body Text" w:semiHidden="1" w:uiPriority="0" w:unhideWhenUsed="1" w:qFormat="1"/>
    <w:lsdException w:name="Subtitle" w:uiPriority="11" w:qFormat="1"/>
    <w:lsdException w:name="Hyperlink" w:semiHidden="1" w:uiPriority="0" w:unhideWhenUsed="1"/>
    <w:lsdException w:name="FollowedHyperlink" w:semiHidden="1" w:uiPriority="0" w:unhideWhenUsed="1"/>
    <w:lsdException w:name="Strong" w:uiPriority="0" w:qFormat="1"/>
    <w:lsdException w:name="Emphasis" w:uiPriority="20" w:qFormat="1"/>
    <w:lsdException w:name="HTML Top of Form" w:semiHidden="1" w:unhideWhenUsed="1"/>
    <w:lsdException w:name="HTML Bottom of Form" w:semiHidden="1" w:unhideWhenUsed="1"/>
    <w:lsdException w:name="Normal (Web)" w:semiHidden="1" w:uiPriority="0" w:unhideWhenUsed="1" w:qFormat="1"/>
    <w:lsdException w:name="HTML Keyboard"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15B"/>
    <w:pPr>
      <w:spacing w:line="240" w:lineRule="auto"/>
      <w:jc w:val="left"/>
    </w:pPr>
    <w:rPr>
      <w:rFonts w:cstheme="minorBidi"/>
      <w:sz w:val="24"/>
    </w:rPr>
  </w:style>
  <w:style w:type="paragraph" w:styleId="Heading1">
    <w:name w:val="heading 1"/>
    <w:basedOn w:val="Normal"/>
    <w:next w:val="Normal"/>
    <w:link w:val="Heading1Char"/>
    <w:qFormat/>
    <w:rsid w:val="006446ED"/>
    <w:pPr>
      <w:outlineLvl w:val="0"/>
    </w:pPr>
    <w:rPr>
      <w:b/>
      <w:caps/>
    </w:rPr>
  </w:style>
  <w:style w:type="paragraph" w:styleId="Heading2">
    <w:name w:val="heading 2"/>
    <w:basedOn w:val="Normal"/>
    <w:next w:val="Normal"/>
    <w:link w:val="Heading2Char"/>
    <w:qFormat/>
    <w:rsid w:val="006446ED"/>
    <w:pPr>
      <w:keepNext/>
      <w:keepLines/>
      <w:outlineLvl w:val="1"/>
    </w:pPr>
    <w:rPr>
      <w:rFonts w:eastAsia="Calibri Light"/>
      <w:b/>
      <w:color w:val="000000"/>
      <w:szCs w:val="26"/>
    </w:rPr>
  </w:style>
  <w:style w:type="paragraph" w:styleId="Heading3">
    <w:name w:val="heading 3"/>
    <w:basedOn w:val="Normal"/>
    <w:next w:val="Normal"/>
    <w:link w:val="Heading3Char"/>
    <w:qFormat/>
    <w:rsid w:val="00321686"/>
    <w:pPr>
      <w:outlineLvl w:val="2"/>
    </w:pPr>
    <w:rPr>
      <w:i/>
    </w:rPr>
  </w:style>
  <w:style w:type="paragraph" w:styleId="Heading4">
    <w:name w:val="heading 4"/>
    <w:basedOn w:val="Title"/>
    <w:next w:val="Normal"/>
    <w:link w:val="Heading4Char1"/>
    <w:qFormat/>
    <w:rsid w:val="00321686"/>
    <w:pPr>
      <w:ind w:left="567"/>
      <w:outlineLvl w:val="3"/>
    </w:pPr>
    <w:rPr>
      <w:rFonts w:ascii="Times New Roman" w:eastAsia="Times New Roman" w:hAnsi="Times New Roman" w:cs="Times New Roman"/>
      <w:kern w:val="56"/>
      <w:sz w:val="24"/>
    </w:rPr>
  </w:style>
  <w:style w:type="paragraph" w:styleId="Heading5">
    <w:name w:val="heading 5"/>
    <w:basedOn w:val="Heading4"/>
    <w:next w:val="Normal"/>
    <w:link w:val="Heading5Char1"/>
    <w:qFormat/>
    <w:rsid w:val="00A569FD"/>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446ED"/>
    <w:rPr>
      <w:rFonts w:eastAsia="Calibri Light" w:cstheme="minorBidi"/>
      <w:b/>
      <w:color w:val="000000"/>
      <w:sz w:val="24"/>
      <w:szCs w:val="26"/>
    </w:rPr>
  </w:style>
  <w:style w:type="character" w:customStyle="1" w:styleId="Heading3Char">
    <w:name w:val="Heading 3 Char"/>
    <w:basedOn w:val="DefaultParagraphFont"/>
    <w:link w:val="Heading3"/>
    <w:rsid w:val="00321686"/>
    <w:rPr>
      <w:rFonts w:cstheme="minorBidi"/>
      <w:i/>
      <w:sz w:val="24"/>
    </w:rPr>
  </w:style>
  <w:style w:type="character" w:customStyle="1" w:styleId="Heading1Char">
    <w:name w:val="Heading 1 Char"/>
    <w:basedOn w:val="DefaultParagraphFont"/>
    <w:link w:val="Heading1"/>
    <w:rsid w:val="006446ED"/>
    <w:rPr>
      <w:rFonts w:cstheme="minorBidi"/>
      <w:b/>
      <w:caps/>
      <w:sz w:val="24"/>
    </w:rPr>
  </w:style>
  <w:style w:type="paragraph" w:styleId="ListParagraph">
    <w:name w:val="List Paragraph"/>
    <w:basedOn w:val="Normal"/>
    <w:link w:val="ListParagraphChar"/>
    <w:qFormat/>
    <w:rsid w:val="00A569FD"/>
    <w:pPr>
      <w:contextualSpacing/>
    </w:pPr>
  </w:style>
  <w:style w:type="character" w:customStyle="1" w:styleId="ListParagraphChar">
    <w:name w:val="List Paragraph Char"/>
    <w:link w:val="ListParagraph"/>
    <w:rsid w:val="00A569FD"/>
    <w:rPr>
      <w:rFonts w:ascii="Times New Roman" w:hAnsi="Times New Roman"/>
      <w:sz w:val="24"/>
    </w:rPr>
  </w:style>
  <w:style w:type="paragraph" w:customStyle="1" w:styleId="EndNoteBibliographyTitle">
    <w:name w:val="EndNote Bibliography Title"/>
    <w:basedOn w:val="Normal"/>
    <w:qFormat/>
    <w:rsid w:val="00A569FD"/>
    <w:pPr>
      <w:jc w:val="center"/>
    </w:pPr>
    <w:rPr>
      <w:lang w:val="en-US"/>
    </w:rPr>
  </w:style>
  <w:style w:type="paragraph" w:customStyle="1" w:styleId="EndNoteBibliography">
    <w:name w:val="EndNote Bibliography"/>
    <w:basedOn w:val="Normal"/>
    <w:qFormat/>
    <w:rsid w:val="00A569FD"/>
    <w:rPr>
      <w:lang w:val="en-US"/>
    </w:rPr>
  </w:style>
  <w:style w:type="paragraph" w:customStyle="1" w:styleId="Revision1">
    <w:name w:val="Revision1"/>
    <w:qFormat/>
    <w:rsid w:val="00A569FD"/>
    <w:pPr>
      <w:spacing w:after="0" w:line="240" w:lineRule="auto"/>
    </w:pPr>
    <w:rPr>
      <w:rFonts w:ascii="Calibri" w:eastAsia="Calibri" w:hAnsi="Calibri"/>
      <w:sz w:val="24"/>
      <w:lang w:eastAsia="zh-CN"/>
    </w:rPr>
  </w:style>
  <w:style w:type="character" w:customStyle="1" w:styleId="UnresolvedMention1">
    <w:name w:val="Unresolved Mention1"/>
    <w:basedOn w:val="DefaultParagraphFont"/>
    <w:rsid w:val="00A569FD"/>
    <w:rPr>
      <w:color w:val="605E5C"/>
      <w:shd w:val="clear" w:color="auto" w:fill="E1DFDD"/>
    </w:rPr>
  </w:style>
  <w:style w:type="character" w:customStyle="1" w:styleId="TitleChar">
    <w:name w:val="Title Char"/>
    <w:basedOn w:val="DefaultParagraphFont"/>
    <w:rsid w:val="00A569FD"/>
    <w:rPr>
      <w:rFonts w:ascii="Calibri Light" w:eastAsia="Calibri Light" w:hAnsi="Calibri Light"/>
      <w:spacing w:val="-9"/>
      <w:kern w:val="1"/>
      <w:sz w:val="56"/>
      <w:szCs w:val="56"/>
    </w:rPr>
  </w:style>
  <w:style w:type="character" w:customStyle="1" w:styleId="Heading4Char">
    <w:name w:val="Heading 4 Char"/>
    <w:basedOn w:val="DefaultParagraphFont"/>
    <w:rsid w:val="00A569FD"/>
    <w:rPr>
      <w:rFonts w:ascii="Calibri Light" w:eastAsia="Times New Roman" w:hAnsi="Calibri Light"/>
      <w:spacing w:val="-9"/>
      <w:kern w:val="1"/>
      <w:sz w:val="56"/>
      <w:szCs w:val="56"/>
    </w:rPr>
  </w:style>
  <w:style w:type="character" w:customStyle="1" w:styleId="Heading5Char">
    <w:name w:val="Heading 5 Char"/>
    <w:basedOn w:val="DefaultParagraphFont"/>
    <w:rsid w:val="00A569FD"/>
    <w:rPr>
      <w:rFonts w:ascii="Calibri Light" w:eastAsia="Times New Roman" w:hAnsi="Calibri Light"/>
      <w:spacing w:val="-9"/>
      <w:kern w:val="1"/>
      <w:sz w:val="56"/>
      <w:szCs w:val="56"/>
    </w:rPr>
  </w:style>
  <w:style w:type="character" w:customStyle="1" w:styleId="lrzxr">
    <w:name w:val="lrzxr"/>
    <w:basedOn w:val="DefaultParagraphFont"/>
    <w:rsid w:val="00A569FD"/>
  </w:style>
  <w:style w:type="character" w:customStyle="1" w:styleId="FootnoteTextChar">
    <w:name w:val="Footnote Text Char"/>
    <w:basedOn w:val="DefaultParagraphFont"/>
    <w:rsid w:val="00A569FD"/>
    <w:rPr>
      <w:rFonts w:ascii="Times New Roman" w:hAnsi="Times New Roman"/>
      <w:sz w:val="20"/>
      <w:szCs w:val="20"/>
    </w:rPr>
  </w:style>
  <w:style w:type="character" w:customStyle="1" w:styleId="BalloonTextChar">
    <w:name w:val="Balloon Text Char"/>
    <w:basedOn w:val="DefaultParagraphFont"/>
    <w:rsid w:val="00A569FD"/>
    <w:rPr>
      <w:rFonts w:ascii="Segoe UI" w:hAnsi="Segoe UI" w:cs="Segoe UI"/>
      <w:sz w:val="18"/>
      <w:szCs w:val="18"/>
    </w:rPr>
  </w:style>
  <w:style w:type="character" w:customStyle="1" w:styleId="BodyTextChar">
    <w:name w:val="Body Text Char"/>
    <w:basedOn w:val="DefaultParagraphFont"/>
    <w:rsid w:val="00A569FD"/>
    <w:rPr>
      <w:rFonts w:ascii="Times New Roman" w:eastAsia="Times New Roman" w:hAnsi="Times New Roman" w:cs="Times New Roman"/>
      <w:sz w:val="24"/>
      <w:lang w:val="en-US"/>
    </w:rPr>
  </w:style>
  <w:style w:type="character" w:customStyle="1" w:styleId="EndNoteBibliographyTitleChar">
    <w:name w:val="EndNote Bibliography Title Char"/>
    <w:basedOn w:val="DefaultParagraphFont"/>
    <w:rsid w:val="00A569FD"/>
    <w:rPr>
      <w:rFonts w:ascii="Times New Roman" w:hAnsi="Times New Roman" w:cs="Times New Roman"/>
      <w:sz w:val="24"/>
      <w:lang w:val="en-US"/>
    </w:rPr>
  </w:style>
  <w:style w:type="character" w:customStyle="1" w:styleId="EndNoteBibliographyChar">
    <w:name w:val="EndNote Bibliography Char"/>
    <w:basedOn w:val="DefaultParagraphFont"/>
    <w:rsid w:val="00A569FD"/>
    <w:rPr>
      <w:rFonts w:ascii="Times New Roman" w:hAnsi="Times New Roman" w:cs="Times New Roman"/>
      <w:sz w:val="24"/>
      <w:lang w:val="en-US"/>
    </w:rPr>
  </w:style>
  <w:style w:type="character" w:customStyle="1" w:styleId="HeaderChar">
    <w:name w:val="Header Char"/>
    <w:basedOn w:val="DefaultParagraphFont"/>
    <w:uiPriority w:val="99"/>
    <w:rsid w:val="00A569FD"/>
    <w:rPr>
      <w:rFonts w:ascii="Times New Roman" w:hAnsi="Times New Roman"/>
      <w:sz w:val="24"/>
    </w:rPr>
  </w:style>
  <w:style w:type="character" w:customStyle="1" w:styleId="FooterChar">
    <w:name w:val="Footer Char"/>
    <w:basedOn w:val="DefaultParagraphFont"/>
    <w:rsid w:val="00A569FD"/>
    <w:rPr>
      <w:rFonts w:ascii="Times New Roman" w:hAnsi="Times New Roman"/>
      <w:sz w:val="24"/>
    </w:rPr>
  </w:style>
  <w:style w:type="character" w:customStyle="1" w:styleId="gmail-orcid-id-https">
    <w:name w:val="gmail-orcid-id-https"/>
    <w:basedOn w:val="DefaultParagraphFont"/>
    <w:rsid w:val="00A569FD"/>
  </w:style>
  <w:style w:type="character" w:customStyle="1" w:styleId="title-text">
    <w:name w:val="title-text"/>
    <w:basedOn w:val="DefaultParagraphFont"/>
    <w:rsid w:val="00A569FD"/>
  </w:style>
  <w:style w:type="character" w:customStyle="1" w:styleId="Heading4Char1">
    <w:name w:val="Heading 4 Char1"/>
    <w:basedOn w:val="DefaultParagraphFont"/>
    <w:link w:val="Heading4"/>
    <w:rsid w:val="00321686"/>
    <w:rPr>
      <w:rFonts w:eastAsia="Times New Roman"/>
      <w:spacing w:val="-9"/>
      <w:kern w:val="56"/>
      <w:sz w:val="24"/>
      <w:szCs w:val="56"/>
    </w:rPr>
  </w:style>
  <w:style w:type="paragraph" w:styleId="Title">
    <w:name w:val="Title"/>
    <w:basedOn w:val="Normal"/>
    <w:next w:val="Normal"/>
    <w:link w:val="TitleChar1"/>
    <w:qFormat/>
    <w:rsid w:val="00A569FD"/>
    <w:pPr>
      <w:contextualSpacing/>
    </w:pPr>
    <w:rPr>
      <w:rFonts w:ascii="Calibri Light" w:eastAsia="Calibri Light" w:hAnsi="Calibri Light" w:cstheme="majorBidi"/>
      <w:spacing w:val="-9"/>
      <w:kern w:val="1"/>
      <w:sz w:val="56"/>
      <w:szCs w:val="56"/>
    </w:rPr>
  </w:style>
  <w:style w:type="character" w:customStyle="1" w:styleId="TitleChar1">
    <w:name w:val="Title Char1"/>
    <w:basedOn w:val="DefaultParagraphFont"/>
    <w:link w:val="Title"/>
    <w:rsid w:val="00A569FD"/>
    <w:rPr>
      <w:rFonts w:ascii="Calibri Light" w:eastAsia="Calibri Light" w:hAnsi="Calibri Light" w:cstheme="majorBidi"/>
      <w:spacing w:val="-9"/>
      <w:kern w:val="1"/>
      <w:sz w:val="56"/>
      <w:szCs w:val="56"/>
      <w:lang w:eastAsia="zh-CN"/>
    </w:rPr>
  </w:style>
  <w:style w:type="character" w:customStyle="1" w:styleId="Heading5Char1">
    <w:name w:val="Heading 5 Char1"/>
    <w:basedOn w:val="DefaultParagraphFont"/>
    <w:link w:val="Heading5"/>
    <w:rsid w:val="00A569FD"/>
    <w:rPr>
      <w:rFonts w:ascii="Calibri Light" w:eastAsia="Times New Roman" w:hAnsi="Calibri Light" w:cs="Times New Roman"/>
      <w:spacing w:val="-9"/>
      <w:kern w:val="1"/>
      <w:sz w:val="56"/>
      <w:szCs w:val="56"/>
      <w:lang w:eastAsia="zh-CN"/>
    </w:rPr>
  </w:style>
  <w:style w:type="paragraph" w:styleId="FootnoteText">
    <w:name w:val="footnote text"/>
    <w:basedOn w:val="Normal"/>
    <w:link w:val="FootnoteTextChar1"/>
    <w:qFormat/>
    <w:rsid w:val="00A569FD"/>
    <w:rPr>
      <w:sz w:val="20"/>
      <w:szCs w:val="20"/>
    </w:rPr>
  </w:style>
  <w:style w:type="character" w:customStyle="1" w:styleId="FootnoteTextChar1">
    <w:name w:val="Footnote Text Char1"/>
    <w:basedOn w:val="DefaultParagraphFont"/>
    <w:link w:val="FootnoteText"/>
    <w:rsid w:val="00A569FD"/>
    <w:rPr>
      <w:rFonts w:ascii="Times New Roman" w:eastAsia="Calibri" w:hAnsi="Times New Roman" w:cs="Times New Roman"/>
      <w:sz w:val="20"/>
      <w:szCs w:val="20"/>
      <w:lang w:eastAsia="zh-CN"/>
    </w:rPr>
  </w:style>
  <w:style w:type="paragraph" w:styleId="CommentText">
    <w:name w:val="annotation text"/>
    <w:basedOn w:val="Normal"/>
    <w:link w:val="CommentTextChar"/>
    <w:qFormat/>
    <w:rsid w:val="00A569FD"/>
    <w:rPr>
      <w:sz w:val="20"/>
      <w:szCs w:val="20"/>
    </w:rPr>
  </w:style>
  <w:style w:type="character" w:customStyle="1" w:styleId="CommentTextChar">
    <w:name w:val="Comment Text Char"/>
    <w:basedOn w:val="DefaultParagraphFont"/>
    <w:link w:val="CommentText"/>
    <w:rsid w:val="00A569FD"/>
    <w:rPr>
      <w:rFonts w:ascii="Times New Roman" w:eastAsia="Calibri" w:hAnsi="Times New Roman" w:cs="Times New Roman"/>
      <w:sz w:val="20"/>
      <w:szCs w:val="20"/>
      <w:lang w:eastAsia="zh-CN"/>
    </w:rPr>
  </w:style>
  <w:style w:type="paragraph" w:styleId="Header">
    <w:name w:val="header"/>
    <w:basedOn w:val="Normal"/>
    <w:link w:val="HeaderChar1"/>
    <w:uiPriority w:val="99"/>
    <w:qFormat/>
    <w:rsid w:val="00A569FD"/>
    <w:pPr>
      <w:tabs>
        <w:tab w:val="center" w:pos="4513"/>
        <w:tab w:val="right" w:pos="9026"/>
      </w:tabs>
    </w:pPr>
  </w:style>
  <w:style w:type="character" w:customStyle="1" w:styleId="HeaderChar1">
    <w:name w:val="Header Char1"/>
    <w:basedOn w:val="DefaultParagraphFont"/>
    <w:link w:val="Header"/>
    <w:uiPriority w:val="99"/>
    <w:rsid w:val="00A569FD"/>
    <w:rPr>
      <w:rFonts w:ascii="Times New Roman" w:eastAsia="Calibri" w:hAnsi="Times New Roman" w:cs="Times New Roman"/>
      <w:sz w:val="24"/>
      <w:lang w:eastAsia="zh-CN"/>
    </w:rPr>
  </w:style>
  <w:style w:type="paragraph" w:styleId="Footer">
    <w:name w:val="footer"/>
    <w:basedOn w:val="Normal"/>
    <w:link w:val="FooterChar1"/>
    <w:qFormat/>
    <w:rsid w:val="00A569FD"/>
    <w:pPr>
      <w:tabs>
        <w:tab w:val="center" w:pos="4513"/>
        <w:tab w:val="right" w:pos="9026"/>
      </w:tabs>
    </w:pPr>
  </w:style>
  <w:style w:type="character" w:customStyle="1" w:styleId="FooterChar1">
    <w:name w:val="Footer Char1"/>
    <w:basedOn w:val="DefaultParagraphFont"/>
    <w:link w:val="Footer"/>
    <w:rsid w:val="00A569FD"/>
    <w:rPr>
      <w:rFonts w:ascii="Times New Roman" w:eastAsia="Calibri" w:hAnsi="Times New Roman" w:cs="Times New Roman"/>
      <w:sz w:val="24"/>
      <w:lang w:eastAsia="zh-CN"/>
    </w:rPr>
  </w:style>
  <w:style w:type="character" w:styleId="FootnoteReference">
    <w:name w:val="footnote reference"/>
    <w:basedOn w:val="DefaultParagraphFont"/>
    <w:rsid w:val="00A569FD"/>
    <w:rPr>
      <w:vertAlign w:val="superscript"/>
    </w:rPr>
  </w:style>
  <w:style w:type="character" w:styleId="CommentReference">
    <w:name w:val="annotation reference"/>
    <w:basedOn w:val="DefaultParagraphFont"/>
    <w:uiPriority w:val="99"/>
    <w:rsid w:val="00A569FD"/>
    <w:rPr>
      <w:sz w:val="16"/>
      <w:szCs w:val="16"/>
    </w:rPr>
  </w:style>
  <w:style w:type="character" w:styleId="LineNumber">
    <w:name w:val="line number"/>
    <w:basedOn w:val="DefaultParagraphFont"/>
    <w:uiPriority w:val="99"/>
    <w:rsid w:val="00A569FD"/>
  </w:style>
  <w:style w:type="paragraph" w:styleId="BodyText">
    <w:name w:val="Body Text"/>
    <w:basedOn w:val="Normal"/>
    <w:link w:val="BodyTextChar1"/>
    <w:qFormat/>
    <w:rsid w:val="00A569FD"/>
    <w:pPr>
      <w:widowControl w:val="0"/>
    </w:pPr>
    <w:rPr>
      <w:rFonts w:eastAsia="Times New Roman"/>
      <w:lang w:val="en-US"/>
    </w:rPr>
  </w:style>
  <w:style w:type="character" w:customStyle="1" w:styleId="BodyTextChar1">
    <w:name w:val="Body Text Char1"/>
    <w:basedOn w:val="DefaultParagraphFont"/>
    <w:link w:val="BodyText"/>
    <w:rsid w:val="00A569FD"/>
    <w:rPr>
      <w:rFonts w:ascii="Times New Roman" w:eastAsia="Times New Roman" w:hAnsi="Times New Roman" w:cs="Times New Roman"/>
      <w:sz w:val="24"/>
      <w:lang w:val="en-US" w:eastAsia="zh-CN"/>
    </w:rPr>
  </w:style>
  <w:style w:type="character" w:styleId="Hyperlink">
    <w:name w:val="Hyperlink"/>
    <w:basedOn w:val="DefaultParagraphFont"/>
    <w:rsid w:val="00A569FD"/>
    <w:rPr>
      <w:color w:val="0563C1"/>
      <w:u w:val="single"/>
    </w:rPr>
  </w:style>
  <w:style w:type="character" w:styleId="FollowedHyperlink">
    <w:name w:val="FollowedHyperlink"/>
    <w:basedOn w:val="DefaultParagraphFont"/>
    <w:rsid w:val="00A569FD"/>
    <w:rPr>
      <w:color w:val="954F72"/>
      <w:u w:val="single"/>
    </w:rPr>
  </w:style>
  <w:style w:type="character" w:styleId="Strong">
    <w:name w:val="Strong"/>
    <w:basedOn w:val="DefaultParagraphFont"/>
    <w:rsid w:val="00A569FD"/>
    <w:rPr>
      <w:b/>
      <w:bCs/>
    </w:rPr>
  </w:style>
  <w:style w:type="character" w:styleId="Emphasis">
    <w:name w:val="Emphasis"/>
    <w:basedOn w:val="DefaultParagraphFont"/>
    <w:uiPriority w:val="20"/>
    <w:qFormat/>
    <w:rsid w:val="00A569FD"/>
    <w:rPr>
      <w:i/>
      <w:iCs/>
    </w:rPr>
  </w:style>
  <w:style w:type="paragraph" w:styleId="NormalWeb">
    <w:name w:val="Normal (Web)"/>
    <w:basedOn w:val="Normal"/>
    <w:qFormat/>
    <w:rsid w:val="00A569FD"/>
    <w:pPr>
      <w:spacing w:before="100" w:beforeAutospacing="1" w:after="100" w:afterAutospacing="1"/>
    </w:pPr>
    <w:rPr>
      <w:rFonts w:eastAsia="Times New Roman"/>
      <w:szCs w:val="24"/>
    </w:rPr>
  </w:style>
  <w:style w:type="paragraph" w:styleId="CommentSubject">
    <w:name w:val="annotation subject"/>
    <w:basedOn w:val="CommentText"/>
    <w:next w:val="CommentText"/>
    <w:link w:val="CommentSubjectChar"/>
    <w:qFormat/>
    <w:rsid w:val="00A569FD"/>
    <w:rPr>
      <w:b/>
      <w:bCs/>
    </w:rPr>
  </w:style>
  <w:style w:type="character" w:customStyle="1" w:styleId="CommentSubjectChar">
    <w:name w:val="Comment Subject Char"/>
    <w:basedOn w:val="CommentTextChar"/>
    <w:link w:val="CommentSubject"/>
    <w:rsid w:val="00A569FD"/>
    <w:rPr>
      <w:rFonts w:ascii="Times New Roman" w:eastAsia="Calibri" w:hAnsi="Times New Roman" w:cs="Times New Roman"/>
      <w:b/>
      <w:bCs/>
      <w:sz w:val="20"/>
      <w:szCs w:val="20"/>
      <w:lang w:eastAsia="zh-CN"/>
    </w:rPr>
  </w:style>
  <w:style w:type="paragraph" w:styleId="BalloonText">
    <w:name w:val="Balloon Text"/>
    <w:basedOn w:val="Normal"/>
    <w:link w:val="BalloonTextChar1"/>
    <w:qFormat/>
    <w:rsid w:val="00A569FD"/>
    <w:rPr>
      <w:rFonts w:ascii="Segoe UI" w:hAnsi="Segoe UI" w:cs="Segoe UI"/>
      <w:sz w:val="18"/>
      <w:szCs w:val="18"/>
    </w:rPr>
  </w:style>
  <w:style w:type="character" w:customStyle="1" w:styleId="BalloonTextChar1">
    <w:name w:val="Balloon Text Char1"/>
    <w:basedOn w:val="DefaultParagraphFont"/>
    <w:link w:val="BalloonText"/>
    <w:rsid w:val="00A569FD"/>
    <w:rPr>
      <w:rFonts w:ascii="Segoe UI" w:eastAsia="Calibri" w:hAnsi="Segoe UI" w:cs="Segoe UI"/>
      <w:sz w:val="18"/>
      <w:szCs w:val="18"/>
      <w:lang w:eastAsia="zh-CN"/>
    </w:rPr>
  </w:style>
  <w:style w:type="table" w:styleId="TableGrid">
    <w:name w:val="Table Grid"/>
    <w:basedOn w:val="TableNormal"/>
    <w:uiPriority w:val="59"/>
    <w:rsid w:val="00A569FD"/>
    <w:pPr>
      <w:spacing w:after="0" w:line="240" w:lineRule="auto"/>
    </w:pPr>
    <w:rPr>
      <w:rFonts w:ascii="Calibri" w:eastAsia="Calibri" w:hAnsi="Calibri"/>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321686"/>
    <w:pPr>
      <w:spacing w:after="0" w:line="240" w:lineRule="auto"/>
    </w:pPr>
    <w:rPr>
      <w:rFonts w:eastAsia="Calibri"/>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Horne</dc:creator>
  <cp:keywords/>
  <dc:description/>
  <cp:lastModifiedBy>Malcolm Horne</cp:lastModifiedBy>
  <cp:revision>2</cp:revision>
  <dcterms:created xsi:type="dcterms:W3CDTF">2021-07-08T22:15:00Z</dcterms:created>
  <dcterms:modified xsi:type="dcterms:W3CDTF">2021-07-08T22:15:00Z</dcterms:modified>
</cp:coreProperties>
</file>