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2DE2D3" w14:textId="77777777" w:rsidR="001C039A" w:rsidRPr="00EB7A99" w:rsidRDefault="00114149" w:rsidP="00EB7A99">
      <w:pPr>
        <w:spacing w:line="480" w:lineRule="auto"/>
        <w:jc w:val="center"/>
        <w:rPr>
          <w:rFonts w:ascii="Times New Roman" w:hAnsi="Times New Roman" w:cs="Times New Roman"/>
          <w:sz w:val="24"/>
          <w:szCs w:val="24"/>
        </w:rPr>
      </w:pPr>
      <w:bookmarkStart w:id="0" w:name="_GoBack"/>
      <w:r w:rsidRPr="00EB7A99">
        <w:rPr>
          <w:rFonts w:ascii="Times New Roman" w:hAnsi="Times New Roman" w:cs="Times New Roman"/>
          <w:sz w:val="24"/>
          <w:szCs w:val="24"/>
        </w:rPr>
        <w:t>SUPPLEMENTARY MATERIALS</w:t>
      </w:r>
    </w:p>
    <w:p w14:paraId="3D211E11" w14:textId="7EFD961A" w:rsidR="00935AFD" w:rsidRPr="00EB7A99" w:rsidRDefault="00506811" w:rsidP="00EB7A99">
      <w:pPr>
        <w:spacing w:line="480" w:lineRule="auto"/>
        <w:jc w:val="center"/>
        <w:rPr>
          <w:rFonts w:ascii="Times New Roman" w:hAnsi="Times New Roman" w:cs="Times New Roman"/>
          <w:b/>
          <w:sz w:val="24"/>
          <w:szCs w:val="24"/>
        </w:rPr>
      </w:pPr>
      <w:r>
        <w:rPr>
          <w:rFonts w:ascii="Times New Roman" w:hAnsi="Times New Roman" w:cs="Times New Roman"/>
          <w:b/>
          <w:bCs/>
          <w:sz w:val="24"/>
          <w:szCs w:val="24"/>
        </w:rPr>
        <w:t xml:space="preserve">Title: Wearable </w:t>
      </w:r>
      <w:r w:rsidR="00935AFD" w:rsidRPr="00EB7A99">
        <w:rPr>
          <w:rFonts w:ascii="Times New Roman" w:hAnsi="Times New Roman" w:cs="Times New Roman"/>
          <w:b/>
          <w:bCs/>
          <w:sz w:val="24"/>
          <w:szCs w:val="24"/>
        </w:rPr>
        <w:t>airbag technology</w:t>
      </w:r>
      <w:r w:rsidR="00FD7040" w:rsidRPr="00EB7A99">
        <w:rPr>
          <w:rFonts w:ascii="Times New Roman" w:hAnsi="Times New Roman" w:cs="Times New Roman"/>
          <w:b/>
          <w:bCs/>
          <w:sz w:val="24"/>
          <w:szCs w:val="24"/>
        </w:rPr>
        <w:t xml:space="preserve"> and machine learned models to mitigate </w:t>
      </w:r>
      <w:r w:rsidR="00400023" w:rsidRPr="00EB7A99">
        <w:rPr>
          <w:rFonts w:ascii="Times New Roman" w:hAnsi="Times New Roman" w:cs="Times New Roman"/>
          <w:b/>
          <w:bCs/>
          <w:sz w:val="24"/>
          <w:szCs w:val="24"/>
        </w:rPr>
        <w:t>falls after stroke</w:t>
      </w:r>
    </w:p>
    <w:p w14:paraId="0A524543" w14:textId="5FB41791" w:rsidR="00935AFD" w:rsidRPr="00EB7A99" w:rsidRDefault="00935AFD" w:rsidP="00EB7A99">
      <w:pPr>
        <w:spacing w:line="480" w:lineRule="auto"/>
        <w:rPr>
          <w:rFonts w:ascii="Times New Roman" w:hAnsi="Times New Roman" w:cs="Times New Roman"/>
          <w:sz w:val="24"/>
          <w:szCs w:val="24"/>
        </w:rPr>
      </w:pPr>
      <w:r w:rsidRPr="00EB7A99">
        <w:rPr>
          <w:rFonts w:ascii="Times New Roman" w:hAnsi="Times New Roman" w:cs="Times New Roman"/>
          <w:b/>
          <w:sz w:val="24"/>
          <w:szCs w:val="24"/>
        </w:rPr>
        <w:t>Authors:</w:t>
      </w:r>
      <w:r w:rsidRPr="00EB7A99">
        <w:rPr>
          <w:rFonts w:ascii="Times New Roman" w:hAnsi="Times New Roman" w:cs="Times New Roman"/>
          <w:sz w:val="24"/>
          <w:szCs w:val="24"/>
        </w:rPr>
        <w:t xml:space="preserve"> Olivia K. </w:t>
      </w:r>
      <w:proofErr w:type="spellStart"/>
      <w:r w:rsidRPr="00EB7A99">
        <w:rPr>
          <w:rFonts w:ascii="Times New Roman" w:hAnsi="Times New Roman" w:cs="Times New Roman"/>
          <w:sz w:val="24"/>
          <w:szCs w:val="24"/>
        </w:rPr>
        <w:t>Botonis</w:t>
      </w:r>
      <w:r w:rsidRPr="00EB7A99">
        <w:rPr>
          <w:rFonts w:ascii="Times New Roman" w:hAnsi="Times New Roman" w:cs="Times New Roman"/>
          <w:sz w:val="24"/>
          <w:szCs w:val="24"/>
          <w:vertAlign w:val="superscript"/>
        </w:rPr>
        <w:t>1</w:t>
      </w:r>
      <w:proofErr w:type="spellEnd"/>
      <w:r w:rsidRPr="00EB7A99">
        <w:rPr>
          <w:rFonts w:ascii="Times New Roman" w:hAnsi="Times New Roman" w:cs="Times New Roman"/>
          <w:sz w:val="24"/>
          <w:szCs w:val="24"/>
          <w:vertAlign w:val="superscript"/>
        </w:rPr>
        <w:t>,*</w:t>
      </w:r>
      <w:r w:rsidRPr="00EB7A99">
        <w:rPr>
          <w:rFonts w:ascii="Times New Roman" w:hAnsi="Times New Roman" w:cs="Times New Roman"/>
          <w:sz w:val="24"/>
          <w:szCs w:val="24"/>
        </w:rPr>
        <w:t xml:space="preserve">, </w:t>
      </w:r>
      <w:proofErr w:type="spellStart"/>
      <w:r w:rsidRPr="00EB7A99">
        <w:rPr>
          <w:rFonts w:ascii="Times New Roman" w:hAnsi="Times New Roman" w:cs="Times New Roman"/>
          <w:sz w:val="24"/>
          <w:szCs w:val="24"/>
        </w:rPr>
        <w:t>Yaar</w:t>
      </w:r>
      <w:proofErr w:type="spellEnd"/>
      <w:r w:rsidRPr="00EB7A99">
        <w:rPr>
          <w:rFonts w:ascii="Times New Roman" w:hAnsi="Times New Roman" w:cs="Times New Roman"/>
          <w:sz w:val="24"/>
          <w:szCs w:val="24"/>
        </w:rPr>
        <w:t xml:space="preserve"> </w:t>
      </w:r>
      <w:proofErr w:type="spellStart"/>
      <w:r w:rsidRPr="00EB7A99">
        <w:rPr>
          <w:rFonts w:ascii="Times New Roman" w:hAnsi="Times New Roman" w:cs="Times New Roman"/>
          <w:sz w:val="24"/>
          <w:szCs w:val="24"/>
        </w:rPr>
        <w:t>Harari</w:t>
      </w:r>
      <w:r w:rsidRPr="00EB7A99">
        <w:rPr>
          <w:rFonts w:ascii="Times New Roman" w:hAnsi="Times New Roman" w:cs="Times New Roman"/>
          <w:sz w:val="24"/>
          <w:szCs w:val="24"/>
          <w:vertAlign w:val="superscript"/>
        </w:rPr>
        <w:t>1,2</w:t>
      </w:r>
      <w:proofErr w:type="spellEnd"/>
      <w:r w:rsidRPr="00EB7A99">
        <w:rPr>
          <w:rFonts w:ascii="Times New Roman" w:hAnsi="Times New Roman" w:cs="Times New Roman"/>
          <w:sz w:val="24"/>
          <w:szCs w:val="24"/>
          <w:vertAlign w:val="superscript"/>
        </w:rPr>
        <w:t>,*</w:t>
      </w:r>
      <w:r w:rsidRPr="00EB7A99">
        <w:rPr>
          <w:rFonts w:ascii="Times New Roman" w:hAnsi="Times New Roman" w:cs="Times New Roman"/>
          <w:sz w:val="24"/>
          <w:szCs w:val="24"/>
        </w:rPr>
        <w:t>, Kyle R. Embry</w:t>
      </w:r>
      <w:r w:rsidRPr="00EB7A99">
        <w:rPr>
          <w:rFonts w:ascii="Times New Roman" w:hAnsi="Times New Roman" w:cs="Times New Roman"/>
          <w:sz w:val="24"/>
          <w:szCs w:val="24"/>
          <w:vertAlign w:val="superscript"/>
        </w:rPr>
        <w:t>1,2</w:t>
      </w:r>
      <w:r w:rsidRPr="00EB7A99">
        <w:rPr>
          <w:rFonts w:ascii="Times New Roman" w:hAnsi="Times New Roman" w:cs="Times New Roman"/>
          <w:sz w:val="24"/>
          <w:szCs w:val="24"/>
        </w:rPr>
        <w:t>, Chaithanya K. Mummidisetty</w:t>
      </w:r>
      <w:r w:rsidRPr="00EB7A99">
        <w:rPr>
          <w:rFonts w:ascii="Times New Roman" w:hAnsi="Times New Roman" w:cs="Times New Roman"/>
          <w:sz w:val="24"/>
          <w:szCs w:val="24"/>
          <w:vertAlign w:val="superscript"/>
        </w:rPr>
        <w:t>1</w:t>
      </w:r>
      <w:r w:rsidRPr="00EB7A99">
        <w:rPr>
          <w:rFonts w:ascii="Times New Roman" w:hAnsi="Times New Roman" w:cs="Times New Roman"/>
          <w:sz w:val="24"/>
          <w:szCs w:val="24"/>
        </w:rPr>
        <w:t xml:space="preserve">, David </w:t>
      </w:r>
      <w:proofErr w:type="spellStart"/>
      <w:r w:rsidRPr="00EB7A99">
        <w:rPr>
          <w:rFonts w:ascii="Times New Roman" w:hAnsi="Times New Roman" w:cs="Times New Roman"/>
          <w:sz w:val="24"/>
          <w:szCs w:val="24"/>
        </w:rPr>
        <w:t>Riopelle</w:t>
      </w:r>
      <w:r w:rsidRPr="00EB7A99">
        <w:rPr>
          <w:rFonts w:ascii="Times New Roman" w:hAnsi="Times New Roman" w:cs="Times New Roman"/>
          <w:sz w:val="24"/>
          <w:szCs w:val="24"/>
          <w:vertAlign w:val="superscript"/>
        </w:rPr>
        <w:t>2,3</w:t>
      </w:r>
      <w:proofErr w:type="spellEnd"/>
      <w:r w:rsidRPr="00EB7A99">
        <w:rPr>
          <w:rFonts w:ascii="Times New Roman" w:hAnsi="Times New Roman" w:cs="Times New Roman"/>
          <w:sz w:val="24"/>
          <w:szCs w:val="24"/>
        </w:rPr>
        <w:t xml:space="preserve">, Matt </w:t>
      </w:r>
      <w:proofErr w:type="spellStart"/>
      <w:r w:rsidRPr="00EB7A99">
        <w:rPr>
          <w:rFonts w:ascii="Times New Roman" w:hAnsi="Times New Roman" w:cs="Times New Roman"/>
          <w:sz w:val="24"/>
          <w:szCs w:val="24"/>
        </w:rPr>
        <w:t>Giffhorn</w:t>
      </w:r>
      <w:proofErr w:type="spellEnd"/>
      <w:r w:rsidRPr="00EB7A99">
        <w:rPr>
          <w:rFonts w:ascii="Times New Roman" w:hAnsi="Times New Roman" w:cs="Times New Roman"/>
          <w:sz w:val="24"/>
          <w:szCs w:val="24"/>
          <w:vertAlign w:val="superscript"/>
        </w:rPr>
        <w:t xml:space="preserve"> 1</w:t>
      </w:r>
      <w:r w:rsidRPr="00EB7A99">
        <w:rPr>
          <w:rFonts w:ascii="Times New Roman" w:hAnsi="Times New Roman" w:cs="Times New Roman"/>
          <w:sz w:val="24"/>
          <w:szCs w:val="24"/>
        </w:rPr>
        <w:t xml:space="preserve">, Mark V. </w:t>
      </w:r>
      <w:proofErr w:type="spellStart"/>
      <w:r w:rsidRPr="00EB7A99">
        <w:rPr>
          <w:rFonts w:ascii="Times New Roman" w:hAnsi="Times New Roman" w:cs="Times New Roman"/>
          <w:sz w:val="24"/>
          <w:szCs w:val="24"/>
        </w:rPr>
        <w:t>Albert</w:t>
      </w:r>
      <w:r w:rsidRPr="00EB7A99">
        <w:rPr>
          <w:rFonts w:ascii="Times New Roman" w:hAnsi="Times New Roman" w:cs="Times New Roman"/>
          <w:sz w:val="24"/>
          <w:szCs w:val="24"/>
          <w:vertAlign w:val="superscript"/>
        </w:rPr>
        <w:t>4</w:t>
      </w:r>
      <w:proofErr w:type="spellEnd"/>
      <w:r w:rsidRPr="00EB7A99">
        <w:rPr>
          <w:rFonts w:ascii="Times New Roman" w:hAnsi="Times New Roman" w:cs="Times New Roman"/>
          <w:sz w:val="24"/>
          <w:szCs w:val="24"/>
        </w:rPr>
        <w:t>,</w:t>
      </w:r>
      <w:r w:rsidRPr="00EB7A99">
        <w:rPr>
          <w:rFonts w:ascii="Times New Roman" w:hAnsi="Times New Roman" w:cs="Times New Roman"/>
          <w:sz w:val="24"/>
          <w:szCs w:val="24"/>
          <w:vertAlign w:val="superscript"/>
        </w:rPr>
        <w:t xml:space="preserve"> </w:t>
      </w:r>
      <w:proofErr w:type="spellStart"/>
      <w:r w:rsidRPr="00EB7A99">
        <w:rPr>
          <w:rFonts w:ascii="Times New Roman" w:hAnsi="Times New Roman" w:cs="Times New Roman"/>
          <w:sz w:val="24"/>
          <w:szCs w:val="24"/>
        </w:rPr>
        <w:t>Vallery</w:t>
      </w:r>
      <w:proofErr w:type="spellEnd"/>
      <w:r w:rsidRPr="00EB7A99">
        <w:rPr>
          <w:rFonts w:ascii="Times New Roman" w:hAnsi="Times New Roman" w:cs="Times New Roman"/>
          <w:sz w:val="24"/>
          <w:szCs w:val="24"/>
        </w:rPr>
        <w:t xml:space="preserve"> </w:t>
      </w:r>
      <w:proofErr w:type="spellStart"/>
      <w:r w:rsidRPr="00EB7A99">
        <w:rPr>
          <w:rFonts w:ascii="Times New Roman" w:hAnsi="Times New Roman" w:cs="Times New Roman"/>
          <w:sz w:val="24"/>
          <w:szCs w:val="24"/>
        </w:rPr>
        <w:t>Heike</w:t>
      </w:r>
      <w:r w:rsidRPr="00EB7A99">
        <w:rPr>
          <w:rFonts w:ascii="Times New Roman" w:hAnsi="Times New Roman" w:cs="Times New Roman"/>
          <w:sz w:val="24"/>
          <w:szCs w:val="24"/>
          <w:vertAlign w:val="superscript"/>
        </w:rPr>
        <w:t>5,6</w:t>
      </w:r>
      <w:proofErr w:type="spellEnd"/>
      <w:r w:rsidRPr="00EB7A99">
        <w:rPr>
          <w:rFonts w:ascii="Times New Roman" w:hAnsi="Times New Roman" w:cs="Times New Roman"/>
          <w:sz w:val="24"/>
          <w:szCs w:val="24"/>
        </w:rPr>
        <w:t xml:space="preserve">, </w:t>
      </w:r>
      <w:proofErr w:type="spellStart"/>
      <w:r w:rsidRPr="00EB7A99">
        <w:rPr>
          <w:rFonts w:ascii="Times New Roman" w:hAnsi="Times New Roman" w:cs="Times New Roman"/>
          <w:sz w:val="24"/>
          <w:szCs w:val="24"/>
        </w:rPr>
        <w:t>Arun</w:t>
      </w:r>
      <w:proofErr w:type="spellEnd"/>
      <w:r w:rsidRPr="00EB7A99">
        <w:rPr>
          <w:rFonts w:ascii="Times New Roman" w:hAnsi="Times New Roman" w:cs="Times New Roman"/>
          <w:sz w:val="24"/>
          <w:szCs w:val="24"/>
        </w:rPr>
        <w:t xml:space="preserve"> </w:t>
      </w:r>
      <w:proofErr w:type="spellStart"/>
      <w:r w:rsidRPr="00EB7A99">
        <w:rPr>
          <w:rFonts w:ascii="Times New Roman" w:hAnsi="Times New Roman" w:cs="Times New Roman"/>
          <w:sz w:val="24"/>
          <w:szCs w:val="24"/>
        </w:rPr>
        <w:t>Jayaraman</w:t>
      </w:r>
      <w:r w:rsidRPr="00EB7A99">
        <w:rPr>
          <w:rFonts w:ascii="Times New Roman" w:hAnsi="Times New Roman" w:cs="Times New Roman"/>
          <w:sz w:val="24"/>
          <w:szCs w:val="24"/>
          <w:vertAlign w:val="superscript"/>
        </w:rPr>
        <w:t>1,2</w:t>
      </w:r>
      <w:proofErr w:type="spellEnd"/>
      <w:r w:rsidRPr="00EB7A99">
        <w:rPr>
          <w:rFonts w:ascii="Times New Roman" w:hAnsi="Times New Roman" w:cs="Times New Roman"/>
          <w:sz w:val="24"/>
          <w:szCs w:val="24"/>
          <w:vertAlign w:val="superscript"/>
        </w:rPr>
        <w:t>,</w:t>
      </w:r>
      <w:r w:rsidRPr="00EB7A99">
        <w:rPr>
          <w:rFonts w:ascii="Times New Roman" w:hAnsi="Times New Roman" w:cs="Times New Roman"/>
          <w:sz w:val="24"/>
          <w:szCs w:val="24"/>
        </w:rPr>
        <w:t xml:space="preserve"> </w:t>
      </w:r>
      <w:r w:rsidRPr="00EB7A99">
        <w:rPr>
          <w:rFonts w:ascii="Times New Roman" w:hAnsi="Times New Roman" w:cs="Times New Roman"/>
          <w:sz w:val="24"/>
          <w:szCs w:val="24"/>
          <w:vertAlign w:val="superscript"/>
        </w:rPr>
        <w:t>†</w:t>
      </w:r>
    </w:p>
    <w:p w14:paraId="1137CF7E" w14:textId="77777777" w:rsidR="00935AFD" w:rsidRPr="00EB7A99" w:rsidRDefault="00935AFD" w:rsidP="00EB7A99">
      <w:pPr>
        <w:spacing w:line="480" w:lineRule="auto"/>
        <w:rPr>
          <w:rFonts w:ascii="Times New Roman" w:hAnsi="Times New Roman" w:cs="Times New Roman"/>
          <w:b/>
          <w:sz w:val="24"/>
          <w:szCs w:val="24"/>
        </w:rPr>
      </w:pPr>
      <w:r w:rsidRPr="00EB7A99">
        <w:rPr>
          <w:rFonts w:ascii="Times New Roman" w:hAnsi="Times New Roman" w:cs="Times New Roman"/>
          <w:b/>
          <w:sz w:val="24"/>
          <w:szCs w:val="24"/>
        </w:rPr>
        <w:t>Affiliations:</w:t>
      </w:r>
    </w:p>
    <w:p w14:paraId="251FD870" w14:textId="6B9CD7CA" w:rsidR="00935AFD" w:rsidRPr="00EB7A99" w:rsidRDefault="00935AFD"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vertAlign w:val="superscript"/>
        </w:rPr>
        <w:t>1</w:t>
      </w:r>
      <w:r w:rsidRPr="00EB7A99">
        <w:rPr>
          <w:rFonts w:ascii="Times New Roman" w:hAnsi="Times New Roman" w:cs="Times New Roman"/>
          <w:sz w:val="24"/>
          <w:szCs w:val="24"/>
        </w:rPr>
        <w:t xml:space="preserve"> Max Nader Rehabilitation Technologies and Outcomes Lab, Shirley Ryan Abil</w:t>
      </w:r>
      <w:r w:rsidR="005A33EA" w:rsidRPr="00EB7A99">
        <w:rPr>
          <w:rFonts w:ascii="Times New Roman" w:hAnsi="Times New Roman" w:cs="Times New Roman"/>
          <w:sz w:val="24"/>
          <w:szCs w:val="24"/>
        </w:rPr>
        <w:t>ityLab;</w:t>
      </w:r>
      <w:r w:rsidRPr="00EB7A99">
        <w:rPr>
          <w:rFonts w:ascii="Times New Roman" w:hAnsi="Times New Roman" w:cs="Times New Roman"/>
          <w:sz w:val="24"/>
          <w:szCs w:val="24"/>
        </w:rPr>
        <w:t xml:space="preserve"> Chicago, IL, USA.</w:t>
      </w:r>
    </w:p>
    <w:p w14:paraId="51BEF4FD" w14:textId="14B791BF" w:rsidR="00935AFD" w:rsidRPr="00EB7A99" w:rsidRDefault="00935AFD"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vertAlign w:val="superscript"/>
        </w:rPr>
        <w:t>2</w:t>
      </w:r>
      <w:r w:rsidRPr="00EB7A99">
        <w:rPr>
          <w:rFonts w:ascii="Times New Roman" w:hAnsi="Times New Roman" w:cs="Times New Roman"/>
          <w:sz w:val="24"/>
          <w:szCs w:val="24"/>
        </w:rPr>
        <w:t xml:space="preserve"> Department of Physical Medicine and Rehabilitation, Northwestern University</w:t>
      </w:r>
      <w:r w:rsidR="005A33EA" w:rsidRPr="00EB7A99">
        <w:rPr>
          <w:rFonts w:ascii="Times New Roman" w:hAnsi="Times New Roman" w:cs="Times New Roman"/>
          <w:sz w:val="24"/>
          <w:szCs w:val="24"/>
        </w:rPr>
        <w:t>;</w:t>
      </w:r>
      <w:r w:rsidRPr="00EB7A99">
        <w:rPr>
          <w:rFonts w:ascii="Times New Roman" w:hAnsi="Times New Roman" w:cs="Times New Roman"/>
          <w:sz w:val="24"/>
          <w:szCs w:val="24"/>
        </w:rPr>
        <w:t xml:space="preserve"> Chicago, IL, USA.</w:t>
      </w:r>
    </w:p>
    <w:p w14:paraId="25C95F82" w14:textId="1667BD7E" w:rsidR="00935AFD" w:rsidRPr="00EB7A99" w:rsidRDefault="00935AFD"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vertAlign w:val="superscript"/>
        </w:rPr>
        <w:t>3</w:t>
      </w:r>
      <w:r w:rsidRPr="00EB7A99">
        <w:rPr>
          <w:rFonts w:ascii="Times New Roman" w:hAnsi="Times New Roman" w:cs="Times New Roman"/>
          <w:sz w:val="24"/>
          <w:szCs w:val="24"/>
        </w:rPr>
        <w:t xml:space="preserve"> Northwestern University Feinberg School of Medicine</w:t>
      </w:r>
      <w:r w:rsidR="005A33EA" w:rsidRPr="00EB7A99">
        <w:rPr>
          <w:rFonts w:ascii="Times New Roman" w:hAnsi="Times New Roman" w:cs="Times New Roman"/>
          <w:sz w:val="24"/>
          <w:szCs w:val="24"/>
        </w:rPr>
        <w:t>;</w:t>
      </w:r>
      <w:r w:rsidRPr="00EB7A99">
        <w:rPr>
          <w:rFonts w:ascii="Times New Roman" w:hAnsi="Times New Roman" w:cs="Times New Roman"/>
          <w:sz w:val="24"/>
          <w:szCs w:val="24"/>
        </w:rPr>
        <w:t xml:space="preserve"> Chicago, IL, USA.</w:t>
      </w:r>
    </w:p>
    <w:p w14:paraId="3961D0A6" w14:textId="578FE493" w:rsidR="00935AFD" w:rsidRPr="00EB7A99" w:rsidRDefault="00935AFD"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vertAlign w:val="superscript"/>
        </w:rPr>
        <w:t>4</w:t>
      </w:r>
      <w:r w:rsidRPr="00EB7A99">
        <w:rPr>
          <w:rFonts w:ascii="Times New Roman" w:hAnsi="Times New Roman" w:cs="Times New Roman"/>
          <w:sz w:val="24"/>
          <w:szCs w:val="24"/>
        </w:rPr>
        <w:t xml:space="preserve"> Department of Computer Science and Engineering; Department of Biomedical Engineering, University of North Texas</w:t>
      </w:r>
      <w:r w:rsidR="005A33EA" w:rsidRPr="00EB7A99">
        <w:rPr>
          <w:rFonts w:ascii="Times New Roman" w:hAnsi="Times New Roman" w:cs="Times New Roman"/>
          <w:sz w:val="24"/>
          <w:szCs w:val="24"/>
        </w:rPr>
        <w:t>;</w:t>
      </w:r>
      <w:r w:rsidRPr="00EB7A99">
        <w:rPr>
          <w:rFonts w:ascii="Times New Roman" w:hAnsi="Times New Roman" w:cs="Times New Roman"/>
          <w:sz w:val="24"/>
          <w:szCs w:val="24"/>
        </w:rPr>
        <w:t xml:space="preserve"> Denton, TX, USA.</w:t>
      </w:r>
    </w:p>
    <w:p w14:paraId="788E42A6" w14:textId="3DBA8312" w:rsidR="00935AFD" w:rsidRPr="00EB7A99" w:rsidRDefault="00935AFD"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vertAlign w:val="superscript"/>
        </w:rPr>
        <w:t>5</w:t>
      </w:r>
      <w:r w:rsidRPr="00EB7A99">
        <w:rPr>
          <w:rFonts w:ascii="Times New Roman" w:hAnsi="Times New Roman" w:cs="Times New Roman"/>
          <w:sz w:val="24"/>
          <w:szCs w:val="24"/>
        </w:rPr>
        <w:t xml:space="preserve"> Department of </w:t>
      </w:r>
      <w:proofErr w:type="spellStart"/>
      <w:r w:rsidRPr="00EB7A99">
        <w:rPr>
          <w:rFonts w:ascii="Times New Roman" w:hAnsi="Times New Roman" w:cs="Times New Roman"/>
          <w:sz w:val="24"/>
          <w:szCs w:val="24"/>
        </w:rPr>
        <w:t>BioMechanical</w:t>
      </w:r>
      <w:proofErr w:type="spellEnd"/>
      <w:r w:rsidRPr="00EB7A99">
        <w:rPr>
          <w:rFonts w:ascii="Times New Roman" w:hAnsi="Times New Roman" w:cs="Times New Roman"/>
          <w:sz w:val="24"/>
          <w:szCs w:val="24"/>
        </w:rPr>
        <w:t xml:space="preserve"> Engineering, Delft University of Technology</w:t>
      </w:r>
      <w:r w:rsidR="005A33EA" w:rsidRPr="00EB7A99">
        <w:rPr>
          <w:rFonts w:ascii="Times New Roman" w:hAnsi="Times New Roman" w:cs="Times New Roman"/>
          <w:sz w:val="24"/>
          <w:szCs w:val="24"/>
        </w:rPr>
        <w:t>;</w:t>
      </w:r>
      <w:r w:rsidRPr="00EB7A99">
        <w:rPr>
          <w:rFonts w:ascii="Times New Roman" w:hAnsi="Times New Roman" w:cs="Times New Roman"/>
          <w:sz w:val="24"/>
          <w:szCs w:val="24"/>
        </w:rPr>
        <w:t xml:space="preserve"> Delft, </w:t>
      </w:r>
      <w:proofErr w:type="gramStart"/>
      <w:r w:rsidRPr="00EB7A99">
        <w:rPr>
          <w:rFonts w:ascii="Times New Roman" w:hAnsi="Times New Roman" w:cs="Times New Roman"/>
          <w:sz w:val="24"/>
          <w:szCs w:val="24"/>
        </w:rPr>
        <w:t>The</w:t>
      </w:r>
      <w:proofErr w:type="gramEnd"/>
      <w:r w:rsidRPr="00EB7A99">
        <w:rPr>
          <w:rFonts w:ascii="Times New Roman" w:hAnsi="Times New Roman" w:cs="Times New Roman"/>
          <w:sz w:val="24"/>
          <w:szCs w:val="24"/>
        </w:rPr>
        <w:t xml:space="preserve"> Netherlands.</w:t>
      </w:r>
    </w:p>
    <w:p w14:paraId="049FCC0D" w14:textId="55BE28DA" w:rsidR="00935AFD" w:rsidRPr="00EB7A99" w:rsidRDefault="00935AFD"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vertAlign w:val="superscript"/>
        </w:rPr>
        <w:t>6</w:t>
      </w:r>
      <w:r w:rsidRPr="00EB7A99">
        <w:rPr>
          <w:rFonts w:ascii="Times New Roman" w:hAnsi="Times New Roman" w:cs="Times New Roman"/>
          <w:sz w:val="24"/>
          <w:szCs w:val="24"/>
        </w:rPr>
        <w:t xml:space="preserve"> Department of Rehabilitation Medicine, Erasmus MC</w:t>
      </w:r>
      <w:r w:rsidR="005A33EA" w:rsidRPr="00EB7A99">
        <w:rPr>
          <w:rFonts w:ascii="Times New Roman" w:hAnsi="Times New Roman" w:cs="Times New Roman"/>
          <w:sz w:val="24"/>
          <w:szCs w:val="24"/>
        </w:rPr>
        <w:t>;</w:t>
      </w:r>
      <w:r w:rsidRPr="00EB7A99">
        <w:rPr>
          <w:rFonts w:ascii="Times New Roman" w:hAnsi="Times New Roman" w:cs="Times New Roman"/>
          <w:sz w:val="24"/>
          <w:szCs w:val="24"/>
        </w:rPr>
        <w:t xml:space="preserve"> Rotterdam, </w:t>
      </w:r>
      <w:proofErr w:type="gramStart"/>
      <w:r w:rsidRPr="00EB7A99">
        <w:rPr>
          <w:rFonts w:ascii="Times New Roman" w:hAnsi="Times New Roman" w:cs="Times New Roman"/>
          <w:sz w:val="24"/>
          <w:szCs w:val="24"/>
        </w:rPr>
        <w:t>The</w:t>
      </w:r>
      <w:proofErr w:type="gramEnd"/>
      <w:r w:rsidRPr="00EB7A99">
        <w:rPr>
          <w:rFonts w:ascii="Times New Roman" w:hAnsi="Times New Roman" w:cs="Times New Roman"/>
          <w:sz w:val="24"/>
          <w:szCs w:val="24"/>
        </w:rPr>
        <w:t xml:space="preserve"> Netherlands</w:t>
      </w:r>
      <w:r w:rsidR="005A33EA" w:rsidRPr="00EB7A99">
        <w:rPr>
          <w:rFonts w:ascii="Times New Roman" w:hAnsi="Times New Roman" w:cs="Times New Roman"/>
          <w:sz w:val="24"/>
          <w:szCs w:val="24"/>
        </w:rPr>
        <w:t>.</w:t>
      </w:r>
    </w:p>
    <w:p w14:paraId="0163B803" w14:textId="77777777" w:rsidR="00935AFD" w:rsidRPr="00EB7A99" w:rsidRDefault="00935AFD" w:rsidP="00EB7A99">
      <w:pPr>
        <w:spacing w:line="480" w:lineRule="auto"/>
        <w:rPr>
          <w:rFonts w:ascii="Times New Roman" w:hAnsi="Times New Roman" w:cs="Times New Roman"/>
          <w:sz w:val="24"/>
          <w:szCs w:val="24"/>
        </w:rPr>
      </w:pPr>
      <w:r w:rsidRPr="00EB7A99">
        <w:rPr>
          <w:rFonts w:ascii="Cambria Math" w:hAnsi="Cambria Math" w:cs="Cambria Math"/>
          <w:sz w:val="24"/>
          <w:szCs w:val="24"/>
        </w:rPr>
        <w:t>↵</w:t>
      </w:r>
      <w:r w:rsidRPr="00EB7A99">
        <w:rPr>
          <w:rFonts w:ascii="Times New Roman" w:hAnsi="Times New Roman" w:cs="Times New Roman"/>
          <w:sz w:val="24"/>
          <w:szCs w:val="24"/>
        </w:rPr>
        <w:t xml:space="preserve">* </w:t>
      </w:r>
      <w:proofErr w:type="gramStart"/>
      <w:r w:rsidRPr="00EB7A99">
        <w:rPr>
          <w:rFonts w:ascii="Times New Roman" w:hAnsi="Times New Roman" w:cs="Times New Roman"/>
          <w:sz w:val="24"/>
          <w:szCs w:val="24"/>
        </w:rPr>
        <w:t>These</w:t>
      </w:r>
      <w:proofErr w:type="gramEnd"/>
      <w:r w:rsidRPr="00EB7A99">
        <w:rPr>
          <w:rFonts w:ascii="Times New Roman" w:hAnsi="Times New Roman" w:cs="Times New Roman"/>
          <w:sz w:val="24"/>
          <w:szCs w:val="24"/>
        </w:rPr>
        <w:t xml:space="preserve"> authors should be considered co-first authors</w:t>
      </w:r>
    </w:p>
    <w:p w14:paraId="699701C9" w14:textId="77777777" w:rsidR="00935AFD" w:rsidRPr="00EB7A99" w:rsidRDefault="00935AFD" w:rsidP="00EB7A99">
      <w:pPr>
        <w:spacing w:line="480" w:lineRule="auto"/>
        <w:rPr>
          <w:rFonts w:ascii="Times New Roman" w:hAnsi="Times New Roman" w:cs="Times New Roman"/>
          <w:sz w:val="24"/>
          <w:szCs w:val="24"/>
        </w:rPr>
      </w:pPr>
      <w:r w:rsidRPr="00EB7A99">
        <w:rPr>
          <w:rFonts w:ascii="Cambria Math" w:hAnsi="Cambria Math" w:cs="Cambria Math"/>
          <w:sz w:val="24"/>
          <w:szCs w:val="24"/>
        </w:rPr>
        <w:t>↵</w:t>
      </w:r>
      <w:r w:rsidRPr="00EB7A99">
        <w:rPr>
          <w:rFonts w:ascii="Times New Roman" w:hAnsi="Times New Roman" w:cs="Times New Roman"/>
          <w:sz w:val="24"/>
          <w:szCs w:val="24"/>
        </w:rPr>
        <w:t xml:space="preserve">† </w:t>
      </w:r>
      <w:proofErr w:type="gramStart"/>
      <w:r w:rsidRPr="00EB7A99">
        <w:rPr>
          <w:rFonts w:ascii="Times New Roman" w:hAnsi="Times New Roman" w:cs="Times New Roman"/>
          <w:sz w:val="24"/>
          <w:szCs w:val="24"/>
        </w:rPr>
        <w:t>To</w:t>
      </w:r>
      <w:proofErr w:type="gramEnd"/>
      <w:r w:rsidRPr="00EB7A99">
        <w:rPr>
          <w:rFonts w:ascii="Times New Roman" w:hAnsi="Times New Roman" w:cs="Times New Roman"/>
          <w:sz w:val="24"/>
          <w:szCs w:val="24"/>
        </w:rPr>
        <w:t xml:space="preserve"> whom correspondence should be addressed:  Arun Jayaraman, PT, PhD, </w:t>
      </w:r>
    </w:p>
    <w:p w14:paraId="3DA3BFDF" w14:textId="75E7E9A3" w:rsidR="00114149" w:rsidRPr="00EB7A99" w:rsidRDefault="00935AFD" w:rsidP="00EB7A99">
      <w:pPr>
        <w:spacing w:line="480" w:lineRule="auto"/>
        <w:rPr>
          <w:rFonts w:ascii="Times New Roman" w:hAnsi="Times New Roman" w:cs="Times New Roman"/>
          <w:sz w:val="24"/>
          <w:szCs w:val="24"/>
          <w:lang w:val="de-DE"/>
        </w:rPr>
      </w:pPr>
      <w:r w:rsidRPr="00EB7A99">
        <w:rPr>
          <w:rFonts w:ascii="Times New Roman" w:hAnsi="Times New Roman" w:cs="Times New Roman"/>
          <w:sz w:val="24"/>
          <w:szCs w:val="24"/>
        </w:rPr>
        <w:t xml:space="preserve">  </w:t>
      </w:r>
      <w:r w:rsidRPr="00EB7A99">
        <w:rPr>
          <w:rFonts w:ascii="Times New Roman" w:hAnsi="Times New Roman" w:cs="Times New Roman"/>
          <w:sz w:val="24"/>
          <w:szCs w:val="24"/>
          <w:lang w:val="de-DE"/>
        </w:rPr>
        <w:t xml:space="preserve">E-mail: </w:t>
      </w:r>
      <w:hyperlink r:id="rId6" w:history="1">
        <w:r w:rsidRPr="00EB7A99">
          <w:rPr>
            <w:rStyle w:val="Hyperlink"/>
            <w:rFonts w:ascii="Times New Roman" w:hAnsi="Times New Roman" w:cs="Times New Roman"/>
            <w:sz w:val="24"/>
            <w:szCs w:val="24"/>
            <w:lang w:val="de-DE"/>
          </w:rPr>
          <w:t>a-jayaraman@northwestern.edu</w:t>
        </w:r>
      </w:hyperlink>
    </w:p>
    <w:p w14:paraId="4E04902C" w14:textId="77777777" w:rsidR="00114149" w:rsidRPr="00EB7A99" w:rsidRDefault="00114149" w:rsidP="00EB7A99">
      <w:pPr>
        <w:pStyle w:val="Heading1"/>
        <w:spacing w:line="480" w:lineRule="auto"/>
        <w:rPr>
          <w:rFonts w:cs="Times New Roman"/>
          <w:szCs w:val="24"/>
        </w:rPr>
      </w:pPr>
      <w:r w:rsidRPr="00EB7A99">
        <w:rPr>
          <w:rFonts w:cs="Times New Roman"/>
          <w:szCs w:val="24"/>
        </w:rPr>
        <w:lastRenderedPageBreak/>
        <w:t>SUPPLEMENTARY METHODS:</w:t>
      </w:r>
    </w:p>
    <w:p w14:paraId="201BD0BD" w14:textId="77777777" w:rsidR="00114149" w:rsidRPr="00EB7A99" w:rsidRDefault="00114149" w:rsidP="00EB7A99">
      <w:pPr>
        <w:spacing w:line="480" w:lineRule="auto"/>
        <w:rPr>
          <w:rFonts w:ascii="Times New Roman" w:hAnsi="Times New Roman" w:cs="Times New Roman"/>
          <w:b/>
          <w:sz w:val="24"/>
          <w:szCs w:val="24"/>
        </w:rPr>
      </w:pPr>
      <w:r w:rsidRPr="00EB7A99">
        <w:rPr>
          <w:rFonts w:ascii="Times New Roman" w:hAnsi="Times New Roman" w:cs="Times New Roman"/>
          <w:b/>
          <w:sz w:val="24"/>
          <w:szCs w:val="24"/>
        </w:rPr>
        <w:t>Materials and Methods:</w:t>
      </w:r>
    </w:p>
    <w:p w14:paraId="75E17F27" w14:textId="32FA46DF" w:rsidR="00B9166B" w:rsidRPr="00EB7A99" w:rsidRDefault="00B9166B"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rPr>
        <w:t xml:space="preserve">As an exploratory analysis and extension to our study, we aimed to look beyond the binary presence or absence of stroke training data affecting pre-fall detection, and furthermore assess how severity of the </w:t>
      </w:r>
      <w:r w:rsidR="0033782A" w:rsidRPr="00EB7A99">
        <w:rPr>
          <w:rFonts w:ascii="Times New Roman" w:hAnsi="Times New Roman" w:cs="Times New Roman"/>
          <w:sz w:val="24"/>
          <w:szCs w:val="24"/>
        </w:rPr>
        <w:t>stroke</w:t>
      </w:r>
      <w:r w:rsidRPr="00EB7A99">
        <w:rPr>
          <w:rFonts w:ascii="Times New Roman" w:hAnsi="Times New Roman" w:cs="Times New Roman"/>
          <w:sz w:val="24"/>
          <w:szCs w:val="24"/>
        </w:rPr>
        <w:t xml:space="preserve"> participants represented in the training phase impacts model performance. Specifically, we hypothesized that when testing on individuals with severe stroke impairments (i.e., high fall-risk), fall detection performance would decrease if individuals of a similar severity are not represented in the model training phase. Clinical evaluations are often </w:t>
      </w:r>
      <w:r w:rsidR="00FE4228" w:rsidRPr="00EB7A99">
        <w:rPr>
          <w:rFonts w:ascii="Times New Roman" w:hAnsi="Times New Roman" w:cs="Times New Roman"/>
          <w:sz w:val="24"/>
          <w:szCs w:val="24"/>
        </w:rPr>
        <w:t>used</w:t>
      </w:r>
      <w:r w:rsidRPr="00EB7A99">
        <w:rPr>
          <w:rFonts w:ascii="Times New Roman" w:hAnsi="Times New Roman" w:cs="Times New Roman"/>
          <w:sz w:val="24"/>
          <w:szCs w:val="24"/>
        </w:rPr>
        <w:t xml:space="preserve"> to assess severity of impairments and to predict fall risk in stroke rehabilitation </w:t>
      </w:r>
      <w:r w:rsidR="00D74A32" w:rsidRPr="00EB7A99">
        <w:rPr>
          <w:rFonts w:ascii="Times New Roman" w:hAnsi="Times New Roman" w:cs="Times New Roman"/>
          <w:sz w:val="24"/>
          <w:szCs w:val="24"/>
        </w:rPr>
        <w:fldChar w:fldCharType="begin" w:fldLock="1"/>
      </w:r>
      <w:r w:rsidR="00D74A32" w:rsidRPr="00EB7A99">
        <w:rPr>
          <w:rFonts w:ascii="Times New Roman" w:hAnsi="Times New Roman" w:cs="Times New Roman"/>
          <w:sz w:val="24"/>
          <w:szCs w:val="24"/>
        </w:rPr>
        <w:instrText>ADDIN CSL_CITATION {"citationItems":[{"id":"ITEM-1","itemData":{"DOI":"10.1136/JECH-2015-206475","ISSN":"1470-2738","PMID":"26767405","abstract":"Background Falls are a significant cause of morbidity after stroke. The aim of this review was to identify, critically appraise and summarise risk prediction models for the occurrence of falling after stroke. Methods A systematic literature search was conducted in December 2014 and repeated in June 2015. Studies that used multivariable analysis to build risk prediction models for falls early after stroke were included. 2 reviewers independently assessed methodological quality. Data relating to model calibration, discrimination (Cstatistic) and clinical utility (sensitivity and specificity) were extracted. A narrative review of models was conducted. PROSPERO reference: CRD42014015612. Results The 12 included articles presented 18 risk prediction models. 7 studies predicted falls among inpatients only and 5 recorded falls in the community. Methodological quality was variable. A C-statistic was reported for 7 models and values ranged from 0.62 to 0.87. Models for use in the inpatient setting most frequently included measures of hemi-inattention, while those predicting community events included falls (or near-falls) history and balance measures most commonly. Only 2 studies reported any form of validation, and none presented a validated model with acceptable performance. Conclusions A number of falls-risk prediction models have been developed for use in the acute and subacute stages of stroke. Future research should focus on validating and improving existing models, with reference to the Transparent Reporting of a multivariable prediction model for Individual Prognosis Or Diagnosis (TRIPOD) guidelines to ensure quality reporting and expedite clinical implementation.","author":[{"dropping-particle":"","family":"ME","given":"Walsh","non-dropping-particle":"","parse-names":false,"suffix":""},{"dropping-particle":"","family":"NF","given":"Horgan","non-dropping-particle":"","parse-names":false,"suffix":""},{"dropping-particle":"","family":"CD","given":"Walsh","non-dropping-particle":"","parse-names":false,"suffix":""},{"dropping-particle":"","family":"R","given":"Galvin","non-dropping-particle":"","parse-names":false,"suffix":""}],"container-title":"Journal of epidemiology and community health","id":"ITEM-1","issue":"5","issued":{"date-parts":[["2016","1","14"]]},"page":"513-519","publisher":"J Epidemiol Community Health","title":"Systematic review of risk prediction models for falls after stroke","type":"article-journal","volume":"70"},"uris":["http://www.mendeley.com/documents/?uuid=9e29b007-f6f5-386e-a510-bbe835648865"]},{"id":"ITEM-2","itemData":{"DOI":"10.1186/S12883-018-1146-9","ISSN":"1471-2377","PMID":"30213258","abstract":"Background: Various outcome measures are used for the assessment of balance and mobility in patients with stroke. The purpose of the present study was to examine test-retest reliability, construct validity, and responsiveness of the Timed Up and Go Test (TUG), Berg Balance Scale (BBS), and Dynamic Gait Index (DGI) for measuring balance in patients with chronic stroke. Methods: Fifty-six patients (39 male and 17 female) with chronic stroke participated in this study. A senior physical therapist assessed the test-retest reliability and validity of three scales, including the DGI, TUG, and BBS over two testing sessions. In addition, the third assessment of each scale was taken at the time of discharge to determine the responsiveness of the three outcome measures. Results: The reliability of the TUG (intraclass correlation coefficient [ICC2,1] = 0.98), DGI (ICC2,1 = 0.98) and BBS (ICC2,1 = 0.99) were excellent. The standard error of measurement (SEM) of the TUG, DGI, and BBS were 1.16, 0.71, and 0.98, respectively. The minimal detectable change (MDC) of the TUG, DGI, and BBS were 3.2, 1.9, and 2.7, respectively. There was a significant correlation found between the DGI and BBS (first reading [r] = 0.75; second reading [r] = 0.77), TUG and BBS (first reading [r] = -.52; second reading [r] = -.53), and the TUG and DGI (first reading [r] = 0.45; second reading [r] = 0.48), respectively. Conclusions: The test-retest reliability of the TUG, BBS, and DGI was excellent. The DGI demonstrated slightly better responsiveness than TUG and BBS. However, the small sample size of this study limits the validity of the results.","author":[{"dropping-particle":"","family":"AH","given":"Alghadir","non-dropping-particle":"","parse-names":false,"suffix":""},{"dropping-particle":"","family":"ES","given":"Al-Eisa","non-dropping-particle":"","parse-names":false,"suffix":""},{"dropping-particle":"","family":"S","given":"Anwer","non-dropping-particle":"","parse-names":false,"suffix":""},{"dropping-particle":"","family":"B","given":"Sarkar","non-dropping-particle":"","parse-names":false,"suffix":""}],"container-title":"BMC neurology","id":"ITEM-2","issue":"1","issued":{"date-parts":[["2018","9","13"]]},"publisher":"BMC Neurol","title":"Reliability, validity, and responsiveness of three scales for measuring balance in patients with chronic stroke","type":"article-journal","volume":"18"},"uris":["http://www.mendeley.com/documents/?uuid=456853c4-7004-3608-8dac-ba6c1b588ac0"]},{"id":"ITEM-3","itemData":{"DOI":"10.1016/S0028-3908(00)00003-4","ISSN":"0028-3908","PMID":"10699448","abstract":"Measurement of stroke recovery is complex because definition of successful recovery is highly variable across measures and cut-off points for defining successful outcomes vary. The purpose of this paper is to describe patterns of recovery in stroke patients of varying severity when different measures are used and when different cut-off points are selected. 459 individuals enrolled in a prospective cohort study were assessed within 14 days post stroke and re-evaluated at 1, 3, and 6 months. Recovery was assessed using the NIH Stroke Scale, the Fugl-Meyer Assessment of Motor Recovery, the Barthel Index of Activities of Daily Living, the Physical Function Index of the SF-36, and the Modified Rankin Outcome Scale. Subjects also defined their preference (utility) for their current health state with a time-trade off question. We compared patterns of recovery using the different measures and varying the cut-off points for defining successful recovery. The percentage of patients who are believed to have recovered depends on how recovery is defined. If recovery is defined at the disability level (Barthel&gt;90), the majority 57.3% of stroke survivors experience a full recovery. Fewer individuals are considered to be fully recovered if impairments are measured (NIH≤1, 44.9% and Fugl-Meyer&gt;90, 36.8%. Less than 25% of stroke survivors are considered recovered if recovery is defined relative to reported prior function in higher levels of physical activity. Shifting the definition of recovery on the modified Rankin scale from ≤1 to ≤2 shifts the percentage of those deemed recovered from ≤25% to 53.8%. In designing drug trials the methods for defining stroke recovery should be carefully considered. If recovery is defined in terms of disability, a higher proportion of the placebo group will achieve the outcome than if impairments are used to define recovery. The benchmarks for recovery in minor strokes must include measures of higher functioning (e.g. the SF-36 physical functioning index or a Rankin 0 (no symptoms). © 2000.","author":[{"dropping-particle":"","family":"PW","given":"Duncan","non-dropping-particle":"","parse-names":false,"suffix":""},{"dropping-particle":"","family":"SM","given":"Lai","non-dropping-particle":"","parse-names":false,"suffix":""},{"dropping-particle":"","family":"J","given":"Keighley","non-dropping-particle":"","parse-names":false,"suffix":""}],"container-title":"Neuropharmacology","id":"ITEM-3","issue":"5","issued":{"date-parts":[["2000"]]},"page":"835-841","publisher":"Neuropharmacology","title":"Defining post-stroke recovery: implications for design and interpretation of drug trials","type":"article-journal","volume":"39"},"uris":["http://www.mendeley.com/documents/?uuid=c9a45e93-834a-3936-8854-7328ae4c52fa"]},{"id":"ITEM-4","itemData":{"DOI":"10.1161/01.STR.0000048217.44714.02","ISSN":"1524-4628","PMID":"12511764","abstract":"Background and Purpose - Early identification of stroke patients in need of rehabilitation or long-term nursing facility (NF) care may promote more efficient use of health care resources and lead to better outcomes. The NIH Stroke Scale (NIHSS) is an attractive candidate predictor of disposition because it is widely used, is easily learned, and can be performed rapidly on admission. Methods - We present a retrospective study of stroke patients admitted within 24 hours of symptom onset to a university hospital from March through June 2000. Medical records were reviewed for demographic information, stroke type, prestroke living arrangement and independence, initial NIHSS, and medical complications during hospitalization. Results - Among 94 patients evaluated during the study period, 59% were discharged home, 30% to rehabilitation, and 11% to NF. In multivariate analyses, disposition was associated only with initial NIHSS. For each 1-point increase in NIHSS, the likelihood of going home was significantly reduced (odds ratio, 0.79; 95% CI, 0.70 to 0.89, P&lt;0.001). Categorization of NIHSS was also predictive of disposition, with NIHSS ≤5 being most strongly associated with discharge home, NIHSS 6 to 13 with rehabilitation, and NIHSS &gt; 13 with NF (P&lt;0.001). Although no other baseline characteristics predicted disposition, major medical complications during hospitalization tended to reduce the odds of going home (odds ratio, 0.30; 95% CI, 0.08 to 1.0, P=0.07). Conclusion - The NIHSS predicts postacute care disposition among stroke patients. Predicting disposition on the first day of admission may facilitate the time-consuming and costly process of securing a bed at rehabilitation or NF, and perhaps decrease unnecessary length of stay in acute care settings.","author":[{"dropping-particle":"","family":"D","given":"Schlegel","non-dropping-particle":"","parse-names":false,"suffix":""},{"dropping-particle":"","family":"SJ","given":"Kolb","non-dropping-particle":"","parse-names":false,"suffix":""},{"dropping-particle":"","family":"JM","given":"Luciano","non-dropping-particle":"","parse-names":false,"suffix":""},{"dropping-particle":"","family":"JM","given":"Tovar","non-dropping-particle":"","parse-names":false,"suffix":""},{"dropping-particle":"","family":"BL","given":"Cucchiara","non-dropping-particle":"","parse-names":false,"suffix":""},{"dropping-particle":"","family":"DS","given":"Liebeskind","non-dropping-particle":"","parse-names":false,"suffix":""},{"dropping-particle":"","family":"SE","given":"Kasner","non-dropping-particle":"","parse-names":false,"suffix":""}],"container-title":"Stroke","id":"ITEM-4","issue":"1","issued":{"date-parts":[["2003","1","1"]]},"page":"134-137","publisher":"Stroke","title":"Utility of the NIH Stroke Scale as a predictor of hospital disposition","type":"article-journal","volume":"34"},"uris":["http://www.mendeley.com/documents/?uuid=7e62f0cc-13a4-310c-b8d4-8801b70cc4fc"]},{"id":"ITEM-5","itemData":{"DOI":"10.1186/1472-6963-13-122","ISSN":"1472-6963","PMID":"23547708","abstract":"Background: Falls are a serious problem for hospitalized patients, reducing the duration and quality of life. It is estimated that over 84% of all adverse events in hospitalized patients are related to falls. Some fall risk assessment tools have been developed and tested in environments other than those for which they were developed with serious validity discrepancies. The aim of this review is to determine the accuracy of instruments for detecting fall risk and predicting falls in acute hospitalized patients. Methods. Systematic review and meta-analysis. Main databases, related websites and grey literature were searched. Two blinded reviewers evaluated title and abstracts of the selected articles and, if they met inclusion criteria, methodological quality was assessed in a new blinded process. Meta-analyses of diagnostic ORs (DOR) and likelihood (LH) coefficients were performed with the random effects method. Forest plots were calculated for sensitivity and specificity, DOR and LH. Additionally, summary ROC (SROC) curves were calculated for every analysis. Results: Fourteen studies were selected for the review. The meta-analysis was performed with the Morse (MFS), STRATIFY and Hendrich II Fall Risk Model scales. The STRATIFY tool provided greater diagnostic validity, with a DOR value of 7.64 (4.86 - 12.00). A meta-regression was performed to assess the effect of average patient age over 65 years and the performance or otherwise of risk reassessments during the patient's stay. The reassessment showed a significant reduction in the DOR on the MFS (rDOR 0.75, 95% CI: 0.64 - 0.89, p = 0.017). Conclusions: The STRATIFY scale was found to be the best tool for assessing the risk of falls by hospitalized acutely-ill adults. However, the behaviour of these instruments varies considerably depending on the population and the environment, and so their operation should be tested prior to implementation. Further studies are needed to investigate the effect of the reassessment of these instruments with respect to hospitalized adult patients, and to consider the real compliance by healthcare personnel with procedures related to patient safety, and in particular concerning the prevention of falls. © 2013 Aranda-Gallardo et al.; licensee BioMed Central Ltd.","author":[{"dropping-particle":"","family":"M","given":"Aranda-Gallardo","non-dropping-particle":"","parse-names":false,"suffix":""},{"dropping-particle":"","family":"JM","given":"Morales-Asencio","non-dropping-particle":"","parse-names":false,"suffix":""},{"dropping-particle":"","family":"JC","given":"Canca-Sanchez","non-dropping-particle":"","parse-names":false,"suffix":""},{"dropping-particle":"","family":"S","given":"Barrero-Sojo","non-dropping-particle":"","parse-names":false,"suffix":""},{"dropping-particle":"","family":"C","given":"Perez-Jimenez","non-dropping-particle":"","parse-names":false,"suffix":""},{"dropping-particle":"","family":"A","given":"Morales-Fernandez","non-dropping-particle":"","parse-names":false,"suffix":""},{"dropping-particle":"","family":"ME","given":"de Luna-Rodriguez","non-dropping-particle":"","parse-names":false,"suffix":""},{"dropping-particle":"","family":"AB","given":"Moya-Suarez","non-dropping-particle":"","parse-names":false,"suffix":""},{"dropping-particle":"","family":"AM","given":"Mora-Banderas","non-dropping-particle":"","parse-names":false,"suffix":""}],"container-title":"BMC health services research","id":"ITEM-5","issue":"1","issued":{"date-parts":[["2013"]]},"publisher":"BMC Health Serv Res","title":"Instruments for assessing the risk of falls in acute hospitalized patients: a systematic review and meta-analysis","type":"article-journal","volume":"13"},"uris":["http://www.mendeley.com/documents/?uuid=466be01c-a322-3d7e-a991-089152b52997"]}],"mendeley":{"formattedCitation":"&lt;i&gt;(1–5)&lt;/i&gt;","plainTextFormattedCitation":"(1–5)","previouslyFormattedCitation":"&lt;i&gt;(1–5)&lt;/i&gt;"},"properties":{"noteIndex":0},"schema":"https://github.com/citation-style-language/schema/raw/master/csl-citation.json"}</w:instrText>
      </w:r>
      <w:r w:rsidR="00D74A32" w:rsidRPr="00EB7A99">
        <w:rPr>
          <w:rFonts w:ascii="Times New Roman" w:hAnsi="Times New Roman" w:cs="Times New Roman"/>
          <w:sz w:val="24"/>
          <w:szCs w:val="24"/>
        </w:rPr>
        <w:fldChar w:fldCharType="separate"/>
      </w:r>
      <w:r w:rsidR="00D74A32" w:rsidRPr="00EB7A99">
        <w:rPr>
          <w:rFonts w:ascii="Times New Roman" w:hAnsi="Times New Roman" w:cs="Times New Roman"/>
          <w:i/>
          <w:noProof/>
          <w:sz w:val="24"/>
          <w:szCs w:val="24"/>
        </w:rPr>
        <w:t>(1–5)</w:t>
      </w:r>
      <w:r w:rsidR="00D74A32" w:rsidRPr="00EB7A99">
        <w:rPr>
          <w:rFonts w:ascii="Times New Roman" w:hAnsi="Times New Roman" w:cs="Times New Roman"/>
          <w:sz w:val="24"/>
          <w:szCs w:val="24"/>
        </w:rPr>
        <w:fldChar w:fldCharType="end"/>
      </w:r>
      <w:r w:rsidRPr="00EB7A99">
        <w:rPr>
          <w:rFonts w:ascii="Times New Roman" w:hAnsi="Times New Roman" w:cs="Times New Roman"/>
          <w:sz w:val="24"/>
          <w:szCs w:val="24"/>
        </w:rPr>
        <w:t>, yet several studies have claimed that the performance of fall risk prediction</w:t>
      </w:r>
      <w:r w:rsidR="000E2228" w:rsidRPr="00EB7A99">
        <w:rPr>
          <w:rFonts w:ascii="Times New Roman" w:hAnsi="Times New Roman" w:cs="Times New Roman"/>
          <w:sz w:val="24"/>
          <w:szCs w:val="24"/>
        </w:rPr>
        <w:t xml:space="preserve"> </w:t>
      </w:r>
      <w:r w:rsidR="00BD12A3" w:rsidRPr="00EB7A99">
        <w:rPr>
          <w:rFonts w:ascii="Times New Roman" w:hAnsi="Times New Roman" w:cs="Times New Roman"/>
          <w:sz w:val="24"/>
          <w:szCs w:val="24"/>
        </w:rPr>
        <w:t>assessments are</w:t>
      </w:r>
      <w:r w:rsidRPr="00EB7A99">
        <w:rPr>
          <w:rFonts w:ascii="Times New Roman" w:hAnsi="Times New Roman" w:cs="Times New Roman"/>
          <w:sz w:val="24"/>
          <w:szCs w:val="24"/>
        </w:rPr>
        <w:t xml:space="preserve"> variable </w:t>
      </w:r>
      <w:r w:rsidR="00D74A32" w:rsidRPr="00EB7A99">
        <w:rPr>
          <w:rFonts w:ascii="Times New Roman" w:hAnsi="Times New Roman" w:cs="Times New Roman"/>
          <w:sz w:val="24"/>
          <w:szCs w:val="24"/>
        </w:rPr>
        <w:fldChar w:fldCharType="begin" w:fldLock="1"/>
      </w:r>
      <w:r w:rsidR="00D74A32" w:rsidRPr="00EB7A99">
        <w:rPr>
          <w:rFonts w:ascii="Times New Roman" w:hAnsi="Times New Roman" w:cs="Times New Roman"/>
          <w:sz w:val="24"/>
          <w:szCs w:val="24"/>
        </w:rPr>
        <w:instrText>ADDIN CSL_CITATION {"citationItems":[{"id":"ITEM-1","itemData":{"DOI":"10.1136/JECH-2015-206475","ISSN":"1470-2738","PMID":"26767405","abstract":"Background Falls are a significant cause of morbidity after stroke. The aim of this review was to identify, critically appraise and summarise risk prediction models for the occurrence of falling after stroke. Methods A systematic literature search was conducted in December 2014 and repeated in June 2015. Studies that used multivariable analysis to build risk prediction models for falls early after stroke were included. 2 reviewers independently assessed methodological quality. Data relating to model calibration, discrimination (Cstatistic) and clinical utility (sensitivity and specificity) were extracted. A narrative review of models was conducted. PROSPERO reference: CRD42014015612. Results The 12 included articles presented 18 risk prediction models. 7 studies predicted falls among inpatients only and 5 recorded falls in the community. Methodological quality was variable. A C-statistic was reported for 7 models and values ranged from 0.62 to 0.87. Models for use in the inpatient setting most frequently included measures of hemi-inattention, while those predicting community events included falls (or near-falls) history and balance measures most commonly. Only 2 studies reported any form of validation, and none presented a validated model with acceptable performance. Conclusions A number of falls-risk prediction models have been developed for use in the acute and subacute stages of stroke. Future research should focus on validating and improving existing models, with reference to the Transparent Reporting of a multivariable prediction model for Individual Prognosis Or Diagnosis (TRIPOD) guidelines to ensure quality reporting and expedite clinical implementation.","author":[{"dropping-particle":"","family":"ME","given":"Walsh","non-dropping-particle":"","parse-names":false,"suffix":""},{"dropping-particle":"","family":"NF","given":"Horgan","non-dropping-particle":"","parse-names":false,"suffix":""},{"dropping-particle":"","family":"CD","given":"Walsh","non-dropping-particle":"","parse-names":false,"suffix":""},{"dropping-particle":"","family":"R","given":"Galvin","non-dropping-particle":"","parse-names":false,"suffix":""}],"container-title":"Journal of epidemiology and community health","id":"ITEM-1","issue":"5","issued":{"date-parts":[["2016","1","14"]]},"page":"513-519","publisher":"J Epidemiol Community Health","title":"Systematic review of risk prediction models for falls after stroke","type":"article-journal","volume":"70"},"uris":["http://www.mendeley.com/documents/?uuid=9e29b007-f6f5-386e-a510-bbe835648865"]},{"id":"ITEM-2","itemData":{"DOI":"10.1093/AGEING/AFW255","ISSN":"1468-2834","PMID":"28104593","abstract":"Background: several multivariable models have been derived to predict post-stroke falls. These require validation before integration into clinical practice. The aim of this study was to externally validate two prediction models for recurrent falls in the first year post-stroke using an Irish prospective cohort study.Methodology: stroke patients with planned home-discharges from five hospitals were recruited. Falls were recorded with monthly diaries and interviews 6 and 12 months post-discharge. Predictors for falls included in two risk-prediction models were assessed at discharge. Participants were classified into risk groups using these models. Model 1, incorporating inpatient falls history and balance, had a 6-month outcome. Model 2, incorporating inpatient near-falls history and upper limb function, had a 12-month outcome. Measures of calibration, discrimination (area under the curve (AUC)) and clinical utility (sensitivity/specificity) were calculated.Results: 128 participants (mean age = 68.6 years, SD = 13.3) were recruited. The fall status of 117 and 110 participants was available at 6 and 12 months, respectively. Seventeen and 28 participants experienced recurrent falls by these respective time points. Model 1 achieved an AUC = 0.56 (95% CI 0.46-0.67), sensitivity = 18.8% and specificity = 93.6%. Model 2 achieved AUC = 0.55 (95% CI 0.44-0.66), sensitivity = 51.9% and specificity = 58.7%. Model 1 showed no significant difference between predicted and observed events (risk ratio (RR) = 0.87, 95% CI 0.16-4.62). In contrast, model 2 significantly over-predicted fall events in the validation cohort (RR = 1.61, 95% CI 1.04-2.48).Conclusions: both models showed poor discrimination for predicting recurrent falls. A further large prospective cohort study would be required to derive a clinically useful falls-risk prediction model for a similar population.","author":[{"dropping-particle":"","family":"ME","given":"Walsh","non-dropping-particle":"","parse-names":false,"suffix":""},{"dropping-particle":"","family":"R","given":"Galvin","non-dropping-particle":"","parse-names":false,"suffix":""},{"dropping-particle":"","family":"F","given":"Boland","non-dropping-particle":"","parse-names":false,"suffix":""},{"dropping-particle":"","family":"D","given":"Williams","non-dropping-particle":"","parse-names":false,"suffix":""},{"dropping-particle":"","family":"JA","given":"Harbison","non-dropping-particle":"","parse-names":false,"suffix":""},{"dropping-particle":"","family":"S","given":"Murphy","non-dropping-particle":"","parse-names":false,"suffix":""},{"dropping-particle":"","family":"R","given":"Collins","non-dropping-particle":"","parse-names":false,"suffix":""},{"dropping-particle":"","family":"M","given":"Crowe","non-dropping-particle":"","parse-names":false,"suffix":""},{"dropping-particle":"","family":"DJH","given":"McCabe","non-dropping-particle":"","parse-names":false,"suffix":""},{"dropping-particle":"","family":"F","given":"Horgan","non-dropping-particle":"","parse-names":false,"suffix":""}],"container-title":"Age and ageing","id":"ITEM-2","issue":"4","issued":{"date-parts":[["2017","7","1"]]},"page":"642-648","publisher":"Age Ageing","title":"Validation of two risk-prediction models for recurrent falls in the first year after stroke: a prospective cohort study","type":"article-journal","volume":"46"},"uris":["http://www.mendeley.com/documents/?uuid=5af47323-0fd9-358b-9a38-70b4acfca3a9"]}],"mendeley":{"formattedCitation":"&lt;i&gt;(1, 6)&lt;/i&gt;","plainTextFormattedCitation":"(1, 6)","previouslyFormattedCitation":"&lt;i&gt;(1, 6)&lt;/i&gt;"},"properties":{"noteIndex":0},"schema":"https://github.com/citation-style-language/schema/raw/master/csl-citation.json"}</w:instrText>
      </w:r>
      <w:r w:rsidR="00D74A32" w:rsidRPr="00EB7A99">
        <w:rPr>
          <w:rFonts w:ascii="Times New Roman" w:hAnsi="Times New Roman" w:cs="Times New Roman"/>
          <w:sz w:val="24"/>
          <w:szCs w:val="24"/>
        </w:rPr>
        <w:fldChar w:fldCharType="separate"/>
      </w:r>
      <w:r w:rsidR="00D74A32" w:rsidRPr="00EB7A99">
        <w:rPr>
          <w:rFonts w:ascii="Times New Roman" w:hAnsi="Times New Roman" w:cs="Times New Roman"/>
          <w:i/>
          <w:noProof/>
          <w:sz w:val="24"/>
          <w:szCs w:val="24"/>
        </w:rPr>
        <w:t>(1, 6)</w:t>
      </w:r>
      <w:r w:rsidR="00D74A32" w:rsidRPr="00EB7A99">
        <w:rPr>
          <w:rFonts w:ascii="Times New Roman" w:hAnsi="Times New Roman" w:cs="Times New Roman"/>
          <w:sz w:val="24"/>
          <w:szCs w:val="24"/>
        </w:rPr>
        <w:fldChar w:fldCharType="end"/>
      </w:r>
      <w:r w:rsidRPr="00EB7A99">
        <w:rPr>
          <w:rFonts w:ascii="Times New Roman" w:hAnsi="Times New Roman" w:cs="Times New Roman"/>
          <w:sz w:val="24"/>
          <w:szCs w:val="24"/>
        </w:rPr>
        <w:t xml:space="preserve"> and limited upon validation </w:t>
      </w:r>
      <w:r w:rsidR="00D74A32" w:rsidRPr="00EB7A99">
        <w:rPr>
          <w:rFonts w:ascii="Times New Roman" w:hAnsi="Times New Roman" w:cs="Times New Roman"/>
          <w:sz w:val="24"/>
          <w:szCs w:val="24"/>
        </w:rPr>
        <w:fldChar w:fldCharType="begin" w:fldLock="1"/>
      </w:r>
      <w:r w:rsidR="00D74A32" w:rsidRPr="00EB7A99">
        <w:rPr>
          <w:rFonts w:ascii="Times New Roman" w:hAnsi="Times New Roman" w:cs="Times New Roman"/>
          <w:sz w:val="24"/>
          <w:szCs w:val="24"/>
        </w:rPr>
        <w:instrText>ADDIN CSL_CITATION {"citationItems":[{"id":"ITEM-1","itemData":{"DOI":"10.1002/PMRJ.12396","ISSN":"1934-1563","PMID":"32358887","abstract":"Introduction: Individuals with stroke discharged from inpatient rehabilitation units (IRUs) are at increased risk for falls. In IRUs, standardized outcome measures (SOMs) have been used to predict falls, but the results have been mixed. Objective: To examine the relationship between SOMs and the risk of falls in individuals with stroke within 6 months of discharge from an IRU. Design: Prospective cohort study with 6-month follow-up. Setting: IRU that was part of a large, urban academic medical center. Participants: Individuals with stroke who underwent rehabilitation. Main Outcome Measures: Self-reported falls within 6 months of discharge. Results: The study included 105 participants who were discharged to their homes after inpatient rehabilitation and who responded to a 6-month follow-up (57% response rate) phone call. Twenty-nine participants (28%) reported falling. Significant odds ratios (ORs), adjusted for age, sex, and stroke severity, were found for the following measures: Berg Balance Scale (OR 0.95, 95% confidence interval [CI] 0.92-0.99), Activity Measure for Post-Acute Care basic mobility (OR 0.89, 95% CI 0.81-0.97), Motricity Index (OR 0.96, 95% CI 0.94-0.98), Functional Independence Measure mobility subscale (OR 0.89, 95% CI 0.80-0.98), and Trunk Control Test (OR 0.97, 95% CI 0.95-0.99). Areas under the curve ranged from.64 to.71. In samples of 82 to 90 patients who could complete the tests, gait speed, the Functional Reach Test, the 6-minute Walk Test, and Timed Up and Go did not result in significant ORs. Conclusions: At discharge, SOMs were associated with the odds of falls within 6 months. The multifactorial nature of falls will continue to make prediction challenging but SOMs can be helpful. Lower extremity strength deserves more attention as a risk factor.","author":[{"dropping-particle":"","family":"M","given":"Campo","non-dropping-particle":"","parse-names":false,"suffix":""},{"dropping-particle":"","family":"J","given":"Toglia","non-dropping-particle":"","parse-names":false,"suffix":""},{"dropping-particle":"","family":"H","given":"Batistick-Aufox","non-dropping-particle":"","parse-names":false,"suffix":""},{"dropping-particle":"","family":"MW","given":"O'Dell","non-dropping-particle":"","parse-names":false,"suffix":""}],"container-title":"PM &amp; R : the journal of injury, function, and rehabilitation","id":"ITEM-1","issue":"3","issued":{"date-parts":[["2021","3","1"]]},"page":"265-273","publisher":"PM R","title":"Standardized Outcome Measures in Stroke Rehabilitation and Falls After Discharge: A Cohort Study","type":"article-journal","volume":"13"},"uris":["http://www.mendeley.com/documents/?uuid=11c4cc00-6505-343a-a91b-4a506ae10c00"]},{"id":"ITEM-2","itemData":{"DOI":"10.2340/16501977-2234","ISSN":"16501977","PMID":"28475196","abstract":"Objective: This exploratory study investigated to what extent gait characteristics and clinical physical therapy assessments predict falls in chronic stroke survivors. Design: Prospective study. Subjects: Chronic fall-prone and non-fall-prone stroke survivors. Methods: Steady-state gait characteristics were collected from 40 participants while walking on a treadmill with motion capture of spatio-temporal, variability, and stability measures. An accelerometer was used to collect daily-life gait characteristics during 7 days. Six physical and psychological assessments were administered. Fall events were determined using a \"fall calendar\" and monthly phone calls over a 6-month period. After data reduction through principal component analysis, the predictive capacity of each method was determined by logistic regression. Results: Thirty-eight percent of the participants were classified as fallers. Laboratory-based and daily- life gait characteristics predicted falls acceptably well, with an area under the curve of, 0.73 and 0.72, respectively, while fall predictions from clinical assessments were limited (0.64). Conclusion: Independent of the type of gait assessment, qualitative gait characteristics are better fall predictors than clinical assessments. Clinicians should therefore consider gait analyses as an alternative for identifying fall-prone stroke survivors.","author":[{"dropping-particle":"","family":"Punt","given":"Michiel","non-dropping-particle":"","parse-names":false,"suffix":""},{"dropping-particle":"","family":"Bruijn","given":"Sjoerd M.","non-dropping-particle":"","parse-names":false,"suffix":""},{"dropping-particle":"","family":"Wittink","given":"Harriet","non-dropping-particle":"","parse-names":false,"suffix":""},{"dropping-particle":"","family":"Port","given":"Ingrid G.","non-dropping-particle":"Van De","parse-names":false,"suffix":""},{"dropping-particle":"","family":"Dieën","given":"Jaap H.","non-dropping-particle":"Van","parse-names":false,"suffix":""}],"container-title":"Journal of Rehabilitation Medicine","id":"ITEM-2","issue":"5","issued":{"date-parts":[["2017"]]},"page":"402-409","publisher":"Foundation for Rehabilitation Information","title":"Do clinical assessments, steady-state or daily-life gait characteristics predict falls in ambulatory chronic stroke survivors?","type":"article-journal","volume":"49"},"uris":["http://www.mendeley.com/documents/?uuid=e57bc036-4801-38de-aff2-54194b8a047a"]}],"mendeley":{"formattedCitation":"&lt;i&gt;(7, 8)&lt;/i&gt;","plainTextFormattedCitation":"(7, 8)","previouslyFormattedCitation":"&lt;i&gt;(7, 8)&lt;/i&gt;"},"properties":{"noteIndex":0},"schema":"https://github.com/citation-style-language/schema/raw/master/csl-citation.json"}</w:instrText>
      </w:r>
      <w:r w:rsidR="00D74A32" w:rsidRPr="00EB7A99">
        <w:rPr>
          <w:rFonts w:ascii="Times New Roman" w:hAnsi="Times New Roman" w:cs="Times New Roman"/>
          <w:sz w:val="24"/>
          <w:szCs w:val="24"/>
        </w:rPr>
        <w:fldChar w:fldCharType="separate"/>
      </w:r>
      <w:r w:rsidR="00D74A32" w:rsidRPr="00EB7A99">
        <w:rPr>
          <w:rFonts w:ascii="Times New Roman" w:hAnsi="Times New Roman" w:cs="Times New Roman"/>
          <w:i/>
          <w:noProof/>
          <w:sz w:val="24"/>
          <w:szCs w:val="24"/>
        </w:rPr>
        <w:t>(7, 8)</w:t>
      </w:r>
      <w:r w:rsidR="00D74A32" w:rsidRPr="00EB7A99">
        <w:rPr>
          <w:rFonts w:ascii="Times New Roman" w:hAnsi="Times New Roman" w:cs="Times New Roman"/>
          <w:sz w:val="24"/>
          <w:szCs w:val="24"/>
        </w:rPr>
        <w:fldChar w:fldCharType="end"/>
      </w:r>
      <w:r w:rsidRPr="00EB7A99">
        <w:rPr>
          <w:rFonts w:ascii="Times New Roman" w:hAnsi="Times New Roman" w:cs="Times New Roman"/>
          <w:sz w:val="24"/>
          <w:szCs w:val="24"/>
        </w:rPr>
        <w:t xml:space="preserve">. Recent studies suggest kinematic measures of instability during gait correlate to, or outperform, clinical assessments for instability and fall risk in the community </w:t>
      </w:r>
      <w:r w:rsidR="00D74A32" w:rsidRPr="00EB7A99">
        <w:rPr>
          <w:rFonts w:ascii="Times New Roman" w:hAnsi="Times New Roman" w:cs="Times New Roman"/>
          <w:sz w:val="24"/>
          <w:szCs w:val="24"/>
        </w:rPr>
        <w:fldChar w:fldCharType="begin" w:fldLock="1"/>
      </w:r>
      <w:r w:rsidR="00C87474" w:rsidRPr="00EB7A99">
        <w:rPr>
          <w:rFonts w:ascii="Times New Roman" w:hAnsi="Times New Roman" w:cs="Times New Roman"/>
          <w:sz w:val="24"/>
          <w:szCs w:val="24"/>
        </w:rPr>
        <w:instrText>ADDIN CSL_CITATION {"citationItems":[{"id":"ITEM-1","itemData":{"DOI":"10.2340/16501977-2234","ISSN":"16501977","PMID":"28475196","abstract":"Objective: This exploratory study investigated to what extent gait characteristics and clinical physical therapy assessments predict falls in chronic stroke survivors. Design: Prospective study. Subjects: Chronic fall-prone and non-fall-prone stroke survivors. Methods: Steady-state gait characteristics were collected from 40 participants while walking on a treadmill with motion capture of spatio-temporal, variability, and stability measures. An accelerometer was used to collect daily-life gait characteristics during 7 days. Six physical and psychological assessments were administered. Fall events were determined using a \"fall calendar\" and monthly phone calls over a 6-month period. After data reduction through principal component analysis, the predictive capacity of each method was determined by logistic regression. Results: Thirty-eight percent of the participants were classified as fallers. Laboratory-based and daily- life gait characteristics predicted falls acceptably well, with an area under the curve of, 0.73 and 0.72, respectively, while fall predictions from clinical assessments were limited (0.64). Conclusion: Independent of the type of gait assessment, qualitative gait characteristics are better fall predictors than clinical assessments. Clinicians should therefore consider gait analyses as an alternative for identifying fall-prone stroke survivors.","author":[{"dropping-particle":"","family":"Punt","given":"Michiel","non-dropping-particle":"","parse-names":false,"suffix":""},{"dropping-particle":"","family":"Bruijn","given":"Sjoerd M.","non-dropping-particle":"","parse-names":false,"suffix":""},{"dropping-particle":"","family":"Wittink","given":"Harriet","non-dropping-particle":"","parse-names":false,"suffix":""},{"dropping-particle":"","family":"Port","given":"Ingrid G.","non-dropping-particle":"Van De","parse-names":false,"suffix":""},{"dropping-particle":"","family":"Dieën","given":"Jaap H.","non-dropping-particle":"Van","parse-names":false,"suffix":""}],"container-title":"Journal of Rehabilitation Medicine","id":"ITEM-1","issue":"5","issued":{"date-parts":[["2017"]]},"page":"402-409","publisher":"Foundation for Rehabilitation Information","title":"Do clinical assessments, steady-state or daily-life gait characteristics predict falls in ambulatory chronic stroke survivors?","type":"article-journal","volume":"49"},"uris":["http://www.mendeley.com/documents/?uuid=e57bc036-4801-38de-aff2-54194b8a047a"]}],"mendeley":{"formattedCitation":"&lt;i&gt;(8)&lt;/i&gt;","plainTextFormattedCitation":"(8)","previouslyFormattedCitation":"&lt;i&gt;(8)&lt;/i&gt;"},"properties":{"noteIndex":0},"schema":"https://github.com/citation-style-language/schema/raw/master/csl-citation.json"}</w:instrText>
      </w:r>
      <w:r w:rsidR="00D74A32" w:rsidRPr="00EB7A99">
        <w:rPr>
          <w:rFonts w:ascii="Times New Roman" w:hAnsi="Times New Roman" w:cs="Times New Roman"/>
          <w:sz w:val="24"/>
          <w:szCs w:val="24"/>
        </w:rPr>
        <w:fldChar w:fldCharType="separate"/>
      </w:r>
      <w:r w:rsidR="004850CD" w:rsidRPr="00EB7A99">
        <w:rPr>
          <w:rFonts w:ascii="Times New Roman" w:hAnsi="Times New Roman" w:cs="Times New Roman"/>
          <w:i/>
          <w:noProof/>
          <w:sz w:val="24"/>
          <w:szCs w:val="24"/>
        </w:rPr>
        <w:t>(8)</w:t>
      </w:r>
      <w:r w:rsidR="00D74A32" w:rsidRPr="00EB7A99">
        <w:rPr>
          <w:rFonts w:ascii="Times New Roman" w:hAnsi="Times New Roman" w:cs="Times New Roman"/>
          <w:sz w:val="24"/>
          <w:szCs w:val="24"/>
        </w:rPr>
        <w:fldChar w:fldCharType="end"/>
      </w:r>
      <w:r w:rsidRPr="00EB7A99">
        <w:rPr>
          <w:rFonts w:ascii="Times New Roman" w:hAnsi="Times New Roman" w:cs="Times New Roman"/>
          <w:sz w:val="24"/>
          <w:szCs w:val="24"/>
        </w:rPr>
        <w:t xml:space="preserve">. Gait assessment is critical to understanding the risk factors contributing to fall events, as a majority of the falls in the community occur during ambulation </w:t>
      </w:r>
      <w:r w:rsidR="00D74A32" w:rsidRPr="00EB7A99">
        <w:rPr>
          <w:rFonts w:ascii="Times New Roman" w:hAnsi="Times New Roman" w:cs="Times New Roman"/>
          <w:sz w:val="24"/>
          <w:szCs w:val="24"/>
        </w:rPr>
        <w:fldChar w:fldCharType="begin" w:fldLock="1"/>
      </w:r>
      <w:r w:rsidR="006C12AC" w:rsidRPr="00EB7A99">
        <w:rPr>
          <w:rFonts w:ascii="Times New Roman" w:hAnsi="Times New Roman" w:cs="Times New Roman"/>
          <w:sz w:val="24"/>
          <w:szCs w:val="24"/>
        </w:rPr>
        <w:instrText>ADDIN CSL_CITATION {"citationItems":[{"id":"ITEM-1","itemData":{"DOI":"10.1682/JRRD.2007.09.0145","abstract":"Stroke survivors are at high risk for falls in all post-stroke stages. Falls may have severe consequences, both physically and psychosocially. Individuals with stroke have an increased risk for hip fractures, and after such a fracture, they less often regain independent mobility. In addition, fear of falling is a common consequence of falls, which may lead to decreased physical activity, social deprivation and, eventually, loss of independence. Important risk factors for falls are balance and gait deficits. Stroke-related balance deficits comprise reduced postural stability during quiet standing and delayed and less coordinated responses to both self-induced and external balance perturbations. Gait deficits include reduced propulsion at push-off, decreased hip and knee flexion during the swing phase, and reduced stability during the stance phase. Interventions addressing these deficits can be expected to prevent falls more successfully. Preliminary evidence shows that task-specific exercise programs targeting balance and gait deficits can indeed reduce the number of falls in individuals with stroke. Technological advances in assistive devices are another promising area. More research is needed, however, to provide conclusive evidence of the efficacy of these interventions regarding the prevention of falls in individuals with stroke.","author":[{"dropping-particle":"","family":"Weerdesteyn","given":"Vivian","non-dropping-particle":"","parse-names":false,"suffix":""},{"dropping-particle":"","family":"Niet","given":"Mark","non-dropping-particle":"De","parse-names":false,"suffix":""},{"dropping-particle":"","family":"Duijnhoven","given":"Hanneke J R","non-dropping-particle":"Van","parse-names":false,"suffix":""},{"dropping-particle":"","family":"Geurts","given":"Alexander C H","non-dropping-particle":"","parse-names":false,"suffix":""}],"container-title":"Journal of Rehabilitation Research &amp; Development","id":"ITEM-1","issue":"8","issued":{"date-parts":[["2008"]]},"page":"1195-1214","title":"Falls in individuals with stroke","type":"article-journal","volume":"45"},"uris":["http://www.mendeley.com/documents/?uuid=221c561f-8c38-39c6-8eb0-ce84cf8a6ea9"]}],"mendeley":{"formattedCitation":"&lt;i&gt;(9)&lt;/i&gt;","plainTextFormattedCitation":"(9)","previouslyFormattedCitation":"&lt;i&gt;(9)&lt;/i&gt;"},"properties":{"noteIndex":0},"schema":"https://github.com/citation-style-language/schema/raw/master/csl-citation.json"}</w:instrText>
      </w:r>
      <w:r w:rsidR="00D74A32" w:rsidRPr="00EB7A99">
        <w:rPr>
          <w:rFonts w:ascii="Times New Roman" w:hAnsi="Times New Roman" w:cs="Times New Roman"/>
          <w:sz w:val="24"/>
          <w:szCs w:val="24"/>
        </w:rPr>
        <w:fldChar w:fldCharType="separate"/>
      </w:r>
      <w:r w:rsidR="00D74A32" w:rsidRPr="00EB7A99">
        <w:rPr>
          <w:rFonts w:ascii="Times New Roman" w:hAnsi="Times New Roman" w:cs="Times New Roman"/>
          <w:i/>
          <w:noProof/>
          <w:sz w:val="24"/>
          <w:szCs w:val="24"/>
        </w:rPr>
        <w:t>(9)</w:t>
      </w:r>
      <w:r w:rsidR="00D74A32" w:rsidRPr="00EB7A99">
        <w:rPr>
          <w:rFonts w:ascii="Times New Roman" w:hAnsi="Times New Roman" w:cs="Times New Roman"/>
          <w:sz w:val="24"/>
          <w:szCs w:val="24"/>
        </w:rPr>
        <w:fldChar w:fldCharType="end"/>
      </w:r>
      <w:r w:rsidRPr="00EB7A99">
        <w:rPr>
          <w:rFonts w:ascii="Times New Roman" w:hAnsi="Times New Roman" w:cs="Times New Roman"/>
          <w:sz w:val="24"/>
          <w:szCs w:val="24"/>
        </w:rPr>
        <w:t xml:space="preserve">. To stratify stroke impairment severity of the participants, we utilized data collected for each participant during a standardized ten-meter walking trial while wearing the airbag IMUs. This </w:t>
      </w:r>
      <w:r w:rsidR="00E75668" w:rsidRPr="00EB7A99">
        <w:rPr>
          <w:rFonts w:ascii="Times New Roman" w:hAnsi="Times New Roman" w:cs="Times New Roman"/>
          <w:sz w:val="24"/>
          <w:szCs w:val="24"/>
        </w:rPr>
        <w:t xml:space="preserve">walking </w:t>
      </w:r>
      <w:r w:rsidRPr="00EB7A99">
        <w:rPr>
          <w:rFonts w:ascii="Times New Roman" w:hAnsi="Times New Roman" w:cs="Times New Roman"/>
          <w:sz w:val="24"/>
          <w:szCs w:val="24"/>
        </w:rPr>
        <w:t>data allows observation and comparison of general gait</w:t>
      </w:r>
      <w:r w:rsidR="00FE4228" w:rsidRPr="00EB7A99">
        <w:rPr>
          <w:rFonts w:ascii="Times New Roman" w:hAnsi="Times New Roman" w:cs="Times New Roman"/>
          <w:sz w:val="24"/>
          <w:szCs w:val="24"/>
        </w:rPr>
        <w:t xml:space="preserve"> kinematics</w:t>
      </w:r>
      <w:r w:rsidRPr="00EB7A99">
        <w:rPr>
          <w:rFonts w:ascii="Times New Roman" w:hAnsi="Times New Roman" w:cs="Times New Roman"/>
          <w:sz w:val="24"/>
          <w:szCs w:val="24"/>
        </w:rPr>
        <w:t xml:space="preserve"> in a standardized format across participants, which may translate to the ambulatory motion leading up to a fall during fall </w:t>
      </w:r>
      <w:r w:rsidR="001F56FD" w:rsidRPr="00EB7A99">
        <w:rPr>
          <w:rFonts w:ascii="Times New Roman" w:hAnsi="Times New Roman" w:cs="Times New Roman"/>
          <w:sz w:val="24"/>
          <w:szCs w:val="24"/>
        </w:rPr>
        <w:t>pre-</w:t>
      </w:r>
      <w:r w:rsidRPr="00EB7A99">
        <w:rPr>
          <w:rFonts w:ascii="Times New Roman" w:hAnsi="Times New Roman" w:cs="Times New Roman"/>
          <w:sz w:val="24"/>
          <w:szCs w:val="24"/>
        </w:rPr>
        <w:t xml:space="preserve">detection. We </w:t>
      </w:r>
      <w:r w:rsidR="00C87474" w:rsidRPr="00EB7A99">
        <w:rPr>
          <w:rFonts w:ascii="Times New Roman" w:hAnsi="Times New Roman" w:cs="Times New Roman"/>
          <w:sz w:val="24"/>
          <w:szCs w:val="24"/>
        </w:rPr>
        <w:t>used</w:t>
      </w:r>
      <w:r w:rsidRPr="00EB7A99">
        <w:rPr>
          <w:rFonts w:ascii="Times New Roman" w:hAnsi="Times New Roman" w:cs="Times New Roman"/>
          <w:sz w:val="24"/>
          <w:szCs w:val="24"/>
        </w:rPr>
        <w:t xml:space="preserve"> IMU axes data from the sensor placed on the lower lumbar region</w:t>
      </w:r>
      <w:r w:rsidR="004850CD" w:rsidRPr="00EB7A99">
        <w:rPr>
          <w:rFonts w:ascii="Times New Roman" w:hAnsi="Times New Roman" w:cs="Times New Roman"/>
          <w:sz w:val="24"/>
          <w:szCs w:val="24"/>
        </w:rPr>
        <w:t xml:space="preserve"> to </w:t>
      </w:r>
      <w:r w:rsidR="00C87474" w:rsidRPr="00EB7A99">
        <w:rPr>
          <w:rFonts w:ascii="Times New Roman" w:hAnsi="Times New Roman" w:cs="Times New Roman"/>
          <w:sz w:val="24"/>
          <w:szCs w:val="24"/>
        </w:rPr>
        <w:t xml:space="preserve">measure  stroke-related </w:t>
      </w:r>
      <w:r w:rsidR="001003B4" w:rsidRPr="00EB7A99">
        <w:rPr>
          <w:rFonts w:ascii="Times New Roman" w:hAnsi="Times New Roman" w:cs="Times New Roman"/>
          <w:sz w:val="24"/>
          <w:szCs w:val="24"/>
        </w:rPr>
        <w:t xml:space="preserve">motion and </w:t>
      </w:r>
      <w:r w:rsidR="00C87474" w:rsidRPr="00EB7A99">
        <w:rPr>
          <w:rFonts w:ascii="Times New Roman" w:hAnsi="Times New Roman" w:cs="Times New Roman"/>
          <w:sz w:val="24"/>
          <w:szCs w:val="24"/>
        </w:rPr>
        <w:t xml:space="preserve">balance </w:t>
      </w:r>
      <w:r w:rsidRPr="00EB7A99">
        <w:rPr>
          <w:rFonts w:ascii="Times New Roman" w:hAnsi="Times New Roman" w:cs="Times New Roman"/>
          <w:sz w:val="24"/>
          <w:szCs w:val="24"/>
        </w:rPr>
        <w:t xml:space="preserve">impairments during gait </w:t>
      </w:r>
      <w:r w:rsidR="00C87474" w:rsidRPr="00EB7A99">
        <w:rPr>
          <w:rFonts w:ascii="Times New Roman" w:hAnsi="Times New Roman" w:cs="Times New Roman"/>
          <w:sz w:val="24"/>
          <w:szCs w:val="24"/>
        </w:rPr>
        <w:fldChar w:fldCharType="begin" w:fldLock="1"/>
      </w:r>
      <w:r w:rsidR="000A2E55" w:rsidRPr="00EB7A99">
        <w:rPr>
          <w:rFonts w:ascii="Times New Roman" w:hAnsi="Times New Roman" w:cs="Times New Roman"/>
          <w:sz w:val="24"/>
          <w:szCs w:val="24"/>
        </w:rPr>
        <w:instrText>ADDIN CSL_CITATION {"citationItems":[{"id":"ITEM-1","itemData":{"DOI":"10.1186/1475-925X-13-146","PMID":"25336170","abstract":"Background: Kinematics measures from inertial sensors have a value in the clinical assessment of pathological gait, to track quantitatively the outcome of interventions and rehabilitation programs. To become a standard tool for clinicians, it is necessary to evaluate their capability to provide reliable and comprehensible information, possibly by comparing this with that provided by the traditional gait analysis. The aim of this study was to assess by state-of-the-art gait analysis the reliability of a single inertial device attached to the sacrum to measure pelvis kinematics during level walking. Methods: The output signals of the three-axis gyroscope were processed to estimate the spatial orientation of the pelvis in the sagittal (tilt angle), frontal (obliquity) and transverse (rotation) anatomical planes These estimated angles were compared with those provided by a 8 TV-cameras stereophotogrammetric system utilizing a standard experimental protocol, with four markers on the pelvis. This was observed in a group of sixteen healthy subjects while performing three repetitions of level walking along a 10 meter walkway at slow, normal and fast speeds. The determination coefficient, the scale factor and the bias of a linear regression model were calculated to represent the differences between the angular patterns from the two measurement systems. For the intra-subject variability, one volunteer was asked to repeat walking at normal speed 10 times. Results: A good match was observed for obliquity and rotation angles. For the tilt angle, the pattern and range of motion was similar, but a bias was observed, due to the different initial inclination angle in the sagittal plane of the inertial sensor with respect to the pelvis anatomical frame. A good intra-subject consistency has also been shown by the small variability of the pelvic angles as estimated by the new system, confirmed by very small values of standard deviation for all three angles. Conclusions: These results suggest that this inertial device is a reliable alternative to stereophotogrammetric systems for pelvis kinematics measurements, in addition to being easier to use and cheaper. The device can provide to the patient and to the examiner reliable feedback in real-time during routine clinical tests.","author":[{"dropping-particle":"","family":"Buganè","given":"Francesca","non-dropping-particle":"","parse-names":false,"suffix":""},{"dropping-particle":"","family":"Benedetti","given":"Maria Grazia","non-dropping-particle":"","parse-names":false,"suffix":""},{"dropping-particle":"","family":"D’Angeli","given":"Valentina","non-dropping-particle":"","parse-names":false,"suffix":""},{"dropping-particle":"","family":"Leardini","given":"Alberto","non-dropping-particle":"","parse-names":false,"suffix":""}],"container-title":"BioMedical Engineering OnLine","id":"ITEM-1","issue":"1","issued":{"date-parts":[["2014"]]},"publisher":"BioMed Central","title":"Estimation of pelvis kinematics in level walking based on a single inertial sensor positioned close to the sacrum: validation on healthy subjects with stereophotogrammetric system","type":"article-journal","volume":"13"},"uris":["http://www.mendeley.com/documents/?uuid=aef8c33e-3a2a-3fa9-bdef-4f2e85c63e7e"]},{"id":"ITEM-2","itemData":{"DOI":"10.3390/s19204537","ISSN":"14248220","abstract":"Gait and balance impairments are linked with reduced mobility and increased risk of falling. Wearable sensing technologies, such as inertial measurement units (IMUs), may augment clinical assessments by providing continuous, high-resolution data. This study tested and validated the utility of a single IMU to quantify gait and balance features during routine clinical outcome tests, and evaluated changes in sensor-derived measurements with age, sex, height, and weight. Age-ranged, healthy individuals (N = 49, 20–70 years) wore a lower back IMU during the 10 m walk test (10MWT), Timed Up and Go (TUG), and Berg Balance Scale (BBS). Spatiotemporal gait parameters computed from the sensor data were validated against gold standard measures, demonstrating excellent agreement for stance time, step time, gait velocity, and step count (intraclass correlation (ICC) &gt; 0.90). There was good agreement for swing time (ICC = 0.78) and moderate agreement for step length (ICC = 0.68). A total of 184 features were calculated from the acceleration and angular velocity signals across these tests, 36 of which had significant correlations with age. This approach was also demonstrated for an individual with stroke, providing higher resolution information about balance, gait, and mobility than the clinical test scores alone. Leveraging mobility data from wireless, wearable sensors can help clinicians and patients more objectively pinpoint impairments, track progression, and set personalized goals during and after rehabilitation.","author":[{"dropping-particle":"","family":"O'brien","given":"Megan K.","non-dropping-particle":"","parse-names":false,"suffix":""},{"dropping-particle":"","family":"Hidalgo-Araya","given":"Marco D.","non-dropping-particle":"","parse-names":false,"suffix":""},{"dropping-particle":"","family":"Mummidisetty","given":"Chaithanya K.","non-dropping-particle":"","parse-names":false,"suffix":""},{"dropping-particle":"","family":"Vallery","given":"Heike","non-dropping-particle":"","parse-names":false,"suffix":""},{"dropping-particle":"","family":"Ghaffari","given":"Roozbeh","non-dropping-particle":"","parse-names":false,"suffix":""},{"dropping-particle":"","family":"Rogers","given":"John A.","non-dropping-particle":"","parse-names":false,"suffix":""},{"dropping-particle":"","family":"Lieber","given":"Richard","non-dropping-particle":"","parse-names":false,"suffix":""},{"dropping-particle":"","family":"Jayaraman","given":"Arun","non-dropping-particle":"","parse-names":false,"suffix":""}],"container-title":"Sensors (Switzerland)","id":"ITEM-2","issue":"20","issued":{"date-parts":[["2019","10","2"]]},"publisher":"MDPI AG","title":"Augmenting clinical outcome measures of gait and balance with a single inertial sensor in age-ranged healthy adults","type":"article-journal","volume":"19"},"uris":["http://www.mendeley.com/documents/?uuid=1a4f10be-3e8c-3645-a062-a07e58000d93"]},{"id":"ITEM-3","itemData":{"DOI":"10.2340/16501977-2234","ISSN":"16501977","PMID":"28475196","abstract":"Objective: This exploratory study investigated to what extent gait characteristics and clinical physical therapy assessments predict falls in chronic stroke survivors. Design: Prospective study. Subjects: Chronic fall-prone and non-fall-prone stroke survivors. Methods: Steady-state gait characteristics were collected from 40 participants while walking on a treadmill with motion capture of spatio-temporal, variability, and stability measures. An accelerometer was used to collect daily-life gait characteristics during 7 days. Six physical and psychological assessments were administered. Fall events were determined using a \"fall calendar\" and monthly phone calls over a 6-month period. After data reduction through principal component analysis, the predictive capacity of each method was determined by logistic regression. Results: Thirty-eight percent of the participants were classified as fallers. Laboratory-based and daily- life gait characteristics predicted falls acceptably well, with an area under the curve of, 0.73 and 0.72, respectively, while fall predictions from clinical assessments were limited (0.64). Conclusion: Independent of the type of gait assessment, qualitative gait characteristics are better fall predictors than clinical assessments. Clinicians should therefore consider gait analyses as an alternative for identifying fall-prone stroke survivors.","author":[{"dropping-particle":"","family":"Punt","given":"Michiel","non-dropping-particle":"","parse-names":false,"suffix":""},{"dropping-particle":"","family":"Bruijn","given":"Sjoerd M.","non-dropping-particle":"","parse-names":false,"suffix":""},{"dropping-particle":"","family":"Wittink","given":"Harriet","non-dropping-particle":"","parse-names":false,"suffix":""},{"dropping-particle":"","family":"Port","given":"Ingrid G.","non-dropping-particle":"Van De","parse-names":false,"suffix":""},{"dropping-particle":"","family":"Dieën","given":"Jaap H.","non-dropping-particle":"Van","parse-names":false,"suffix":""}],"container-title":"Journal of Rehabilitation Medicine","id":"ITEM-3","issue":"5","issued":{"date-parts":[["2017"]]},"page":"402-409","publisher":"Foundation for Rehabilitation Information","title":"Do clinical assessments, steady-state or daily-life gait characteristics predict falls in ambulatory chronic stroke survivors?","type":"article-journal","volume":"49"},"uris":["http://www.mendeley.com/documents/?uuid=e57bc036-4801-38de-aff2-54194b8a047a"]}],"mendeley":{"formattedCitation":"&lt;i&gt;(8, 10, 11)&lt;/i&gt;","plainTextFormattedCitation":"(8, 10, 11)","previouslyFormattedCitation":"&lt;i&gt;(10, 11)&lt;/i&gt;"},"properties":{"noteIndex":0},"schema":"https://github.com/citation-style-language/schema/raw/master/csl-citation.json"}</w:instrText>
      </w:r>
      <w:r w:rsidR="00C87474" w:rsidRPr="00EB7A99">
        <w:rPr>
          <w:rFonts w:ascii="Times New Roman" w:hAnsi="Times New Roman" w:cs="Times New Roman"/>
          <w:sz w:val="24"/>
          <w:szCs w:val="24"/>
        </w:rPr>
        <w:fldChar w:fldCharType="separate"/>
      </w:r>
      <w:r w:rsidR="000A2E55" w:rsidRPr="00EB7A99">
        <w:rPr>
          <w:rFonts w:ascii="Times New Roman" w:hAnsi="Times New Roman" w:cs="Times New Roman"/>
          <w:i/>
          <w:noProof/>
          <w:sz w:val="24"/>
          <w:szCs w:val="24"/>
        </w:rPr>
        <w:t>(8, 10, 11)</w:t>
      </w:r>
      <w:r w:rsidR="00C87474" w:rsidRPr="00EB7A99">
        <w:rPr>
          <w:rFonts w:ascii="Times New Roman" w:hAnsi="Times New Roman" w:cs="Times New Roman"/>
          <w:sz w:val="24"/>
          <w:szCs w:val="24"/>
        </w:rPr>
        <w:fldChar w:fldCharType="end"/>
      </w:r>
      <w:r w:rsidRPr="00EB7A99">
        <w:rPr>
          <w:rFonts w:ascii="Times New Roman" w:hAnsi="Times New Roman" w:cs="Times New Roman"/>
          <w:sz w:val="24"/>
          <w:szCs w:val="24"/>
        </w:rPr>
        <w:t xml:space="preserve">. </w:t>
      </w:r>
    </w:p>
    <w:p w14:paraId="66D7E7D0" w14:textId="1A0CECFE" w:rsidR="00B9166B" w:rsidRPr="00EB7A99" w:rsidRDefault="00B9166B"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rPr>
        <w:t xml:space="preserve">Following suit of the aforementioned studies, we selected the following criteria to </w:t>
      </w:r>
      <w:r w:rsidR="00710654" w:rsidRPr="00EB7A99">
        <w:rPr>
          <w:rFonts w:ascii="Times New Roman" w:hAnsi="Times New Roman" w:cs="Times New Roman"/>
          <w:sz w:val="24"/>
          <w:szCs w:val="24"/>
        </w:rPr>
        <w:t>characterize subjects with</w:t>
      </w:r>
      <w:r w:rsidRPr="00EB7A99">
        <w:rPr>
          <w:rFonts w:ascii="Times New Roman" w:hAnsi="Times New Roman" w:cs="Times New Roman"/>
          <w:sz w:val="24"/>
          <w:szCs w:val="24"/>
        </w:rPr>
        <w:t xml:space="preserve"> greater instability and</w:t>
      </w:r>
      <w:r w:rsidR="00710654" w:rsidRPr="00EB7A99">
        <w:rPr>
          <w:rFonts w:ascii="Times New Roman" w:hAnsi="Times New Roman" w:cs="Times New Roman"/>
          <w:sz w:val="24"/>
          <w:szCs w:val="24"/>
        </w:rPr>
        <w:t>,</w:t>
      </w:r>
      <w:r w:rsidRPr="00EB7A99">
        <w:rPr>
          <w:rFonts w:ascii="Times New Roman" w:hAnsi="Times New Roman" w:cs="Times New Roman"/>
          <w:sz w:val="24"/>
          <w:szCs w:val="24"/>
        </w:rPr>
        <w:t xml:space="preserve"> consequently fall risk, relative to other participants within the cohort:</w:t>
      </w:r>
    </w:p>
    <w:p w14:paraId="03E4FF17" w14:textId="66B56B8E" w:rsidR="00B9166B" w:rsidRPr="00EB7A99" w:rsidRDefault="00B9166B" w:rsidP="00EB7A99">
      <w:pPr>
        <w:pStyle w:val="ListParagraph"/>
        <w:numPr>
          <w:ilvl w:val="0"/>
          <w:numId w:val="5"/>
        </w:numPr>
        <w:spacing w:line="480" w:lineRule="auto"/>
        <w:rPr>
          <w:rFonts w:ascii="Times New Roman" w:hAnsi="Times New Roman" w:cs="Times New Roman"/>
          <w:sz w:val="24"/>
          <w:szCs w:val="24"/>
        </w:rPr>
      </w:pPr>
      <w:r w:rsidRPr="00EB7A99">
        <w:rPr>
          <w:rFonts w:ascii="Times New Roman" w:hAnsi="Times New Roman" w:cs="Times New Roman"/>
          <w:sz w:val="24"/>
          <w:szCs w:val="24"/>
        </w:rPr>
        <w:lastRenderedPageBreak/>
        <w:t xml:space="preserve">A gait </w:t>
      </w:r>
      <w:r w:rsidR="00710654" w:rsidRPr="00EB7A99">
        <w:rPr>
          <w:rFonts w:ascii="Times New Roman" w:hAnsi="Times New Roman" w:cs="Times New Roman"/>
          <w:sz w:val="24"/>
          <w:szCs w:val="24"/>
        </w:rPr>
        <w:t>speed</w:t>
      </w:r>
      <w:r w:rsidRPr="00EB7A99">
        <w:rPr>
          <w:rFonts w:ascii="Times New Roman" w:hAnsi="Times New Roman" w:cs="Times New Roman"/>
          <w:sz w:val="24"/>
          <w:szCs w:val="24"/>
        </w:rPr>
        <w:t xml:space="preserve"> below the median of the stroke population (0.84 m/s). Slow</w:t>
      </w:r>
      <w:r w:rsidR="00F60C1F" w:rsidRPr="00EB7A99">
        <w:rPr>
          <w:rFonts w:ascii="Times New Roman" w:hAnsi="Times New Roman" w:cs="Times New Roman"/>
          <w:sz w:val="24"/>
          <w:szCs w:val="24"/>
        </w:rPr>
        <w:t>er gait speed post stroke</w:t>
      </w:r>
      <w:r w:rsidRPr="00EB7A99">
        <w:rPr>
          <w:rFonts w:ascii="Times New Roman" w:hAnsi="Times New Roman" w:cs="Times New Roman"/>
          <w:sz w:val="24"/>
          <w:szCs w:val="24"/>
        </w:rPr>
        <w:t xml:space="preserve"> is often associated with more severe</w:t>
      </w:r>
      <w:r w:rsidR="00F60C1F" w:rsidRPr="00EB7A99">
        <w:rPr>
          <w:rFonts w:ascii="Times New Roman" w:hAnsi="Times New Roman" w:cs="Times New Roman"/>
          <w:sz w:val="24"/>
          <w:szCs w:val="24"/>
        </w:rPr>
        <w:t xml:space="preserve"> impairment and</w:t>
      </w:r>
      <w:r w:rsidRPr="00EB7A99">
        <w:rPr>
          <w:rFonts w:ascii="Times New Roman" w:hAnsi="Times New Roman" w:cs="Times New Roman"/>
          <w:sz w:val="24"/>
          <w:szCs w:val="24"/>
        </w:rPr>
        <w:t xml:space="preserve"> </w:t>
      </w:r>
      <w:r w:rsidR="00F60C1F" w:rsidRPr="00EB7A99">
        <w:rPr>
          <w:rFonts w:ascii="Times New Roman" w:hAnsi="Times New Roman" w:cs="Times New Roman"/>
          <w:sz w:val="24"/>
          <w:szCs w:val="24"/>
        </w:rPr>
        <w:t>decreased likelihood of community ambulation</w:t>
      </w:r>
      <w:r w:rsidRPr="00EB7A99">
        <w:rPr>
          <w:rFonts w:ascii="Times New Roman" w:hAnsi="Times New Roman" w:cs="Times New Roman"/>
          <w:sz w:val="24"/>
          <w:szCs w:val="24"/>
        </w:rPr>
        <w:t xml:space="preserve"> </w:t>
      </w:r>
      <w:r w:rsidR="00C87474" w:rsidRPr="00EB7A99">
        <w:rPr>
          <w:rFonts w:ascii="Times New Roman" w:hAnsi="Times New Roman" w:cs="Times New Roman"/>
          <w:sz w:val="24"/>
          <w:szCs w:val="24"/>
        </w:rPr>
        <w:fldChar w:fldCharType="begin" w:fldLock="1"/>
      </w:r>
      <w:r w:rsidR="00867BE3" w:rsidRPr="00EB7A99">
        <w:rPr>
          <w:rFonts w:ascii="Times New Roman" w:hAnsi="Times New Roman" w:cs="Times New Roman"/>
          <w:sz w:val="24"/>
          <w:szCs w:val="24"/>
        </w:rPr>
        <w:instrText>ADDIN CSL_CITATION {"citationItems":[{"id":"ITEM-1","itemData":{"DOI":"10.1161/01.STR.26.6.982","ISSN":"0039-2499","PMID":"7762050","abstract":"The limited walking ability that follows a stroke restricts the patient’s independent mobility about the home and community, a significant social handicap. To improve the in-hospital prediction of functional outcome, the relationships between impairment, disability, and handicap were assessed with clinical measures in 147 stroke patients. Methods The patients’ level of functional walking ability at home and in the community was assigned by expert clinicians to one of the six categories of a modified Hoffer Functional Ambulation scale at least 3 months after discharge. A 19-item questionnaire was further used to assess current customary mobility of the subjects. Functional muscle strength and proprioception were tested, and walking velocity was measured. Results The significant indicators of impairment, upright motor control knee flexion and extension strength, differentiated household from community ambulators. The addition of velocity improved the functional prediction. Proprioception was clinically normal in all walkers. The validity of the criteria for the six levels of walking handicap was confirmed statistically. Stepwise discriminant analysis reduced the ambulation activities on the questionnaire from 19 to 7. Redefinition of the criteria for patient classification using the coefficients and constants of the seven critical functions improved the prediction of patient walking ability to 84%. Conclusions The results of this study offer a quantitative method of relating the social disadvantage of stroke patients to the impairment and disability sustained. The measurement of therapeutic outcome in relation to the social advantage for the patient would allow more efficient standardization of treatment and services. © 1995 American Heart Association, Inc.","author":[{"dropping-particle":"","family":"J","given":"Perry","non-dropping-particle":"","parse-names":false,"suffix":""},{"dropping-particle":"","family":"M","given":"Garrett","non-dropping-particle":"","parse-names":false,"suffix":""},{"dropping-particle":"","family":"JK","given":"Gronley","non-dropping-particle":"","parse-names":false,"suffix":""},{"dropping-particle":"","family":"SJ","given":"Mulroy","non-dropping-particle":"","parse-names":false,"suffix":""}],"container-title":"Stroke","id":"ITEM-1","issue":"6","issued":{"date-parts":[["1995"]]},"page":"982-989","publisher":"Stroke","title":"Classification of walking handicap in the stroke population","type":"article-journal","volume":"26"},"uris":["http://www.mendeley.com/documents/?uuid=2360be1f-e4ce-300f-9b5c-fff7c985c29c"]},{"id":"ITEM-2","itemData":{"DOI":"10.1161/STROKEAHA.116.015309","abstract":"Background and Purpose—Walking ability poststroke is commonly assessed using gait speed categories developed by Perry et al. The purpose of this study was to reexamine factors that predict home and...","author":[{"dropping-particle":"","family":"Fulk","given":"George D.","non-dropping-particle":"","parse-names":false,"suffix":""},{"dropping-particle":"","family":"He","given":"Ying","non-dropping-particle":"","parse-names":false,"suffix":""},{"dropping-particle":"","family":"Boyne","given":"Pierce","non-dropping-particle":"","parse-names":false,"suffix":""},{"dropping-particle":"","family":"Dunning","given":"Kari","non-dropping-particle":"","parse-names":false,"suffix":""}],"container-title":"Stroke","id":"ITEM-2","issue":"2","issued":{"date-parts":[["2017","2","1"]]},"page":"406-411","publisher":"\nLippincott Williams &amp; Wilkins\nHagerstown, MD\n","title":"Predicting Home and Community Walking Activity Poststroke","type":"article-journal","volume":"48"},"uris":["http://www.mendeley.com/documents/?uuid=e0ccbe09-7d4a-34d5-8c7b-633943406fde"]}],"mendeley":{"formattedCitation":"&lt;i&gt;(12, 13)&lt;/i&gt;","plainTextFormattedCitation":"(12, 13)","previouslyFormattedCitation":"&lt;i&gt;(12, 13)&lt;/i&gt;"},"properties":{"noteIndex":0},"schema":"https://github.com/citation-style-language/schema/raw/master/csl-citation.json"}</w:instrText>
      </w:r>
      <w:r w:rsidR="00C87474" w:rsidRPr="00EB7A99">
        <w:rPr>
          <w:rFonts w:ascii="Times New Roman" w:hAnsi="Times New Roman" w:cs="Times New Roman"/>
          <w:sz w:val="24"/>
          <w:szCs w:val="24"/>
        </w:rPr>
        <w:fldChar w:fldCharType="separate"/>
      </w:r>
      <w:r w:rsidR="00C87474" w:rsidRPr="00EB7A99">
        <w:rPr>
          <w:rFonts w:ascii="Times New Roman" w:hAnsi="Times New Roman" w:cs="Times New Roman"/>
          <w:i/>
          <w:noProof/>
          <w:sz w:val="24"/>
          <w:szCs w:val="24"/>
        </w:rPr>
        <w:t>(12, 13)</w:t>
      </w:r>
      <w:r w:rsidR="00C87474" w:rsidRPr="00EB7A99">
        <w:rPr>
          <w:rFonts w:ascii="Times New Roman" w:hAnsi="Times New Roman" w:cs="Times New Roman"/>
          <w:sz w:val="24"/>
          <w:szCs w:val="24"/>
        </w:rPr>
        <w:fldChar w:fldCharType="end"/>
      </w:r>
      <w:r w:rsidRPr="00EB7A99">
        <w:rPr>
          <w:rFonts w:ascii="Times New Roman" w:hAnsi="Times New Roman" w:cs="Times New Roman"/>
          <w:sz w:val="24"/>
          <w:szCs w:val="24"/>
        </w:rPr>
        <w:t>.</w:t>
      </w:r>
    </w:p>
    <w:p w14:paraId="37D36B51" w14:textId="56CA50CA" w:rsidR="00B9166B" w:rsidRPr="00EB7A99" w:rsidRDefault="00B9166B" w:rsidP="00EB7A99">
      <w:pPr>
        <w:pStyle w:val="ListParagraph"/>
        <w:numPr>
          <w:ilvl w:val="0"/>
          <w:numId w:val="5"/>
        </w:numPr>
        <w:spacing w:line="480" w:lineRule="auto"/>
        <w:rPr>
          <w:rFonts w:ascii="Times New Roman" w:hAnsi="Times New Roman" w:cs="Times New Roman"/>
          <w:sz w:val="24"/>
          <w:szCs w:val="24"/>
        </w:rPr>
      </w:pPr>
      <w:r w:rsidRPr="00EB7A99">
        <w:rPr>
          <w:rFonts w:ascii="Times New Roman" w:hAnsi="Times New Roman" w:cs="Times New Roman"/>
          <w:sz w:val="24"/>
          <w:szCs w:val="24"/>
        </w:rPr>
        <w:t>A range of motion</w:t>
      </w:r>
      <w:r w:rsidR="00867BE3" w:rsidRPr="00EB7A99">
        <w:rPr>
          <w:rFonts w:ascii="Times New Roman" w:hAnsi="Times New Roman" w:cs="Times New Roman"/>
          <w:sz w:val="24"/>
          <w:szCs w:val="24"/>
        </w:rPr>
        <w:t xml:space="preserve"> (ROM)</w:t>
      </w:r>
      <w:r w:rsidRPr="00EB7A99">
        <w:rPr>
          <w:rFonts w:ascii="Times New Roman" w:hAnsi="Times New Roman" w:cs="Times New Roman"/>
          <w:sz w:val="24"/>
          <w:szCs w:val="24"/>
        </w:rPr>
        <w:t xml:space="preserve"> in the upper quartile for the lower lumbar angular velocity about the x, y, or z axes (simulating trunk rotation, trunk flexion or extension, or increased or decreased weight shift, respectively). These exaggerated movements about a central point in the lower lumbar region indicate increased center of gravity displacement </w:t>
      </w:r>
      <w:r w:rsidR="00867BE3" w:rsidRPr="00EB7A99">
        <w:rPr>
          <w:rFonts w:ascii="Times New Roman" w:hAnsi="Times New Roman" w:cs="Times New Roman"/>
          <w:sz w:val="24"/>
          <w:szCs w:val="24"/>
        </w:rPr>
        <w:t xml:space="preserve">and instability </w:t>
      </w:r>
      <w:r w:rsidRPr="00EB7A99">
        <w:rPr>
          <w:rFonts w:ascii="Times New Roman" w:hAnsi="Times New Roman" w:cs="Times New Roman"/>
          <w:sz w:val="24"/>
          <w:szCs w:val="24"/>
        </w:rPr>
        <w:t xml:space="preserve">during ambulation </w:t>
      </w:r>
      <w:r w:rsidR="00867BE3" w:rsidRPr="00EB7A99">
        <w:rPr>
          <w:rFonts w:ascii="Times New Roman" w:hAnsi="Times New Roman" w:cs="Times New Roman"/>
          <w:sz w:val="24"/>
          <w:szCs w:val="24"/>
        </w:rPr>
        <w:fldChar w:fldCharType="begin" w:fldLock="1"/>
      </w:r>
      <w:r w:rsidR="000A2E55" w:rsidRPr="00EB7A99">
        <w:rPr>
          <w:rFonts w:ascii="Times New Roman" w:hAnsi="Times New Roman" w:cs="Times New Roman"/>
          <w:sz w:val="24"/>
          <w:szCs w:val="24"/>
        </w:rPr>
        <w:instrText>ADDIN CSL_CITATION {"citationItems":[{"id":"ITEM-1","itemData":{"DOI":"10.2340/16501977-2234","ISSN":"16501977","PMID":"28475196","abstract":"Objective: This exploratory study investigated to what extent gait characteristics and clinical physical therapy assessments predict falls in chronic stroke survivors. Design: Prospective study. Subjects: Chronic fall-prone and non-fall-prone stroke survivors. Methods: Steady-state gait characteristics were collected from 40 participants while walking on a treadmill with motion capture of spatio-temporal, variability, and stability measures. An accelerometer was used to collect daily-life gait characteristics during 7 days. Six physical and psychological assessments were administered. Fall events were determined using a \"fall calendar\" and monthly phone calls over a 6-month period. After data reduction through principal component analysis, the predictive capacity of each method was determined by logistic regression. Results: Thirty-eight percent of the participants were classified as fallers. Laboratory-based and daily- life gait characteristics predicted falls acceptably well, with an area under the curve of, 0.73 and 0.72, respectively, while fall predictions from clinical assessments were limited (0.64). Conclusion: Independent of the type of gait assessment, qualitative gait characteristics are better fall predictors than clinical assessments. Clinicians should therefore consider gait analyses as an alternative for identifying fall-prone stroke survivors.","author":[{"dropping-particle":"","family":"Punt","given":"Michiel","non-dropping-particle":"","parse-names":false,"suffix":""},{"dropping-particle":"","family":"Bruijn","given":"Sjoerd M.","non-dropping-particle":"","parse-names":false,"suffix":""},{"dropping-particle":"","family":"Wittink","given":"Harriet","non-dropping-particle":"","parse-names":false,"suffix":""},{"dropping-particle":"","family":"Port","given":"Ingrid G.","non-dropping-particle":"Van De","parse-names":false,"suffix":""},{"dropping-particle":"","family":"Dieën","given":"Jaap H.","non-dropping-particle":"Van","parse-names":false,"suffix":""}],"container-title":"Journal of Rehabilitation Medicine","id":"ITEM-1","issue":"5","issued":{"date-parts":[["2017"]]},"page":"402-409","publisher":"Foundation for Rehabilitation Information","title":"Do clinical assessments, steady-state or daily-life gait characteristics predict falls in ambulatory chronic stroke survivors?","type":"article-journal","volume":"49"},"uris":["http://www.mendeley.com/documents/?uuid=e57bc036-4801-38de-aff2-54194b8a047a"]},{"id":"ITEM-2","itemData":{"DOI":"10.1016/J.GAITPOST.2019.10.039","ISSN":"0966-6362","abstract":"Background: Wearable inertial sensors have grown in popularity as a means of objectively assessing fall risk. This review aimed to identify gait and posture differences among older adult fallers and non-fallers which can be measured with the use of wearable inertial sensors. In addition to describing the number of sensors used to obtain measures, the concurrent anatomical locations, how these measures compare to current forms of clinical fall risk assessment tests and the setting of tests. Methods: Following the development of a rigorous search strategy, MEDLINE, Web of Science, Cochrane, EMBASE, PEDro, and CINAHL were systematically searched for studies involving the use of wearable inertial sensors, to determine gait and postural based differences among fallers or those at high fall risk compared with non-fallers and low fall risk adults aged 60 years and older. Results: Thirty five papers met the inclusion criteria. One hundred and forty nine gait and posture characteristic differences were identified using wearable inertial sensors. There were sensor derived measures which significantly and strongly correlated with traditional clinical tests. The use of a single wearable inertial sensor located at the lower posterior trunk, was most the most effective location and enough to ascertain multiple pertinent fall risk factors. Conclusion: This review identified the capabilities of identifying fall risk factors among older adults with the use of wearable inertial sensors. The lightweight portable nature makes inertial sensors an effective tool to be implemented into clinical fall risk assessment and continuous unsupervised home monitoring, in addition to, outdoor testing.","author":[{"dropping-particle":"","family":"Patel","given":"Mubarak","non-dropping-particle":"","parse-names":false,"suffix":""},{"dropping-particle":"","family":"Pavic","given":"Aleksandar","non-dropping-particle":"","parse-names":false,"suffix":""},{"dropping-particle":"","family":"Goodwin","given":"Victoria A.","non-dropping-particle":"","parse-names":false,"suffix":""}],"container-title":"Gait &amp; Posture","id":"ITEM-2","issued":{"date-parts":[["2020","2","1"]]},"page":"110-121","publisher":"Elsevier","title":"Wearable inertial sensors to measure gait and posture characteristic differences in older adult fallers and non-fallers: A scoping review","type":"article-journal","volume":"76"},"uris":["http://www.mendeley.com/documents/?uuid=26fbc712-e44b-3bb3-8cb4-dddc61f8e972"]}],"mendeley":{"formattedCitation":"&lt;i&gt;(8, 14)&lt;/i&gt;","plainTextFormattedCitation":"(8, 14)","previouslyFormattedCitation":"&lt;i&gt;(8, 14)&lt;/i&gt;"},"properties":{"noteIndex":0},"schema":"https://github.com/citation-style-language/schema/raw/master/csl-citation.json"}</w:instrText>
      </w:r>
      <w:r w:rsidR="00867BE3" w:rsidRPr="00EB7A99">
        <w:rPr>
          <w:rFonts w:ascii="Times New Roman" w:hAnsi="Times New Roman" w:cs="Times New Roman"/>
          <w:sz w:val="24"/>
          <w:szCs w:val="24"/>
        </w:rPr>
        <w:fldChar w:fldCharType="separate"/>
      </w:r>
      <w:r w:rsidR="00867BE3" w:rsidRPr="00EB7A99">
        <w:rPr>
          <w:rFonts w:ascii="Times New Roman" w:hAnsi="Times New Roman" w:cs="Times New Roman"/>
          <w:i/>
          <w:noProof/>
          <w:sz w:val="24"/>
          <w:szCs w:val="24"/>
        </w:rPr>
        <w:t>(8, 14)</w:t>
      </w:r>
      <w:r w:rsidR="00867BE3" w:rsidRPr="00EB7A99">
        <w:rPr>
          <w:rFonts w:ascii="Times New Roman" w:hAnsi="Times New Roman" w:cs="Times New Roman"/>
          <w:sz w:val="24"/>
          <w:szCs w:val="24"/>
        </w:rPr>
        <w:fldChar w:fldCharType="end"/>
      </w:r>
      <w:r w:rsidRPr="00EB7A99">
        <w:rPr>
          <w:rFonts w:ascii="Times New Roman" w:hAnsi="Times New Roman" w:cs="Times New Roman"/>
          <w:sz w:val="24"/>
          <w:szCs w:val="24"/>
        </w:rPr>
        <w:t xml:space="preserve">. </w:t>
      </w:r>
    </w:p>
    <w:p w14:paraId="44C8CD5B" w14:textId="5394E20A" w:rsidR="00B9166B" w:rsidRPr="00EB7A99" w:rsidRDefault="00B9166B"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rPr>
        <w:t xml:space="preserve">We labeled the participants of the stroke cohort whom meet </w:t>
      </w:r>
      <w:r w:rsidR="00BD12A3" w:rsidRPr="00EB7A99">
        <w:rPr>
          <w:rFonts w:ascii="Times New Roman" w:hAnsi="Times New Roman" w:cs="Times New Roman"/>
          <w:sz w:val="24"/>
          <w:szCs w:val="24"/>
        </w:rPr>
        <w:t>this criterion</w:t>
      </w:r>
      <w:r w:rsidRPr="00EB7A99">
        <w:rPr>
          <w:rFonts w:ascii="Times New Roman" w:hAnsi="Times New Roman" w:cs="Times New Roman"/>
          <w:sz w:val="24"/>
          <w:szCs w:val="24"/>
        </w:rPr>
        <w:t xml:space="preserve"> as “unstable ambulators”, and tested how their presence in a sample population of test users affects pre-fall classification performance (</w:t>
      </w:r>
      <w:r w:rsidR="00230FB6" w:rsidRPr="00EB7A99">
        <w:rPr>
          <w:rFonts w:ascii="Times New Roman" w:hAnsi="Times New Roman" w:cs="Times New Roman"/>
          <w:b/>
          <w:sz w:val="24"/>
          <w:szCs w:val="24"/>
        </w:rPr>
        <w:t>Fig.</w:t>
      </w:r>
      <w:r w:rsidR="00230FB6" w:rsidRPr="00EB7A99">
        <w:rPr>
          <w:rFonts w:ascii="Times New Roman" w:hAnsi="Times New Roman" w:cs="Times New Roman"/>
          <w:sz w:val="24"/>
          <w:szCs w:val="24"/>
        </w:rPr>
        <w:t xml:space="preserve"> </w:t>
      </w:r>
      <w:r w:rsidR="00230FB6" w:rsidRPr="00EB7A99">
        <w:rPr>
          <w:rFonts w:ascii="Times New Roman" w:hAnsi="Times New Roman" w:cs="Times New Roman"/>
          <w:b/>
          <w:sz w:val="24"/>
          <w:szCs w:val="24"/>
        </w:rPr>
        <w:t>S</w:t>
      </w:r>
      <w:r w:rsidRPr="00EB7A99">
        <w:rPr>
          <w:rFonts w:ascii="Times New Roman" w:hAnsi="Times New Roman" w:cs="Times New Roman"/>
          <w:b/>
          <w:sz w:val="24"/>
          <w:szCs w:val="24"/>
        </w:rPr>
        <w:t>1</w:t>
      </w:r>
      <w:r w:rsidRPr="00EB7A99">
        <w:rPr>
          <w:rFonts w:ascii="Times New Roman" w:hAnsi="Times New Roman" w:cs="Times New Roman"/>
          <w:sz w:val="24"/>
          <w:szCs w:val="24"/>
        </w:rPr>
        <w:t>). A compilation of test sets was constructed using a “leave-one-group-out” modeling scheme,</w:t>
      </w:r>
      <w:r w:rsidR="00202B24" w:rsidRPr="00EB7A99">
        <w:rPr>
          <w:rFonts w:ascii="Times New Roman" w:hAnsi="Times New Roman" w:cs="Times New Roman"/>
          <w:sz w:val="24"/>
          <w:szCs w:val="24"/>
        </w:rPr>
        <w:t xml:space="preserve"> where</w:t>
      </w:r>
      <w:r w:rsidRPr="00EB7A99">
        <w:rPr>
          <w:rFonts w:ascii="Times New Roman" w:hAnsi="Times New Roman" w:cs="Times New Roman"/>
          <w:sz w:val="24"/>
          <w:szCs w:val="24"/>
        </w:rPr>
        <w:t xml:space="preserve"> each group </w:t>
      </w:r>
      <w:r w:rsidR="00202B24" w:rsidRPr="00EB7A99">
        <w:rPr>
          <w:rFonts w:ascii="Times New Roman" w:hAnsi="Times New Roman" w:cs="Times New Roman"/>
          <w:sz w:val="24"/>
          <w:szCs w:val="24"/>
        </w:rPr>
        <w:t xml:space="preserve">consists of </w:t>
      </w:r>
      <w:r w:rsidRPr="00EB7A99">
        <w:rPr>
          <w:rFonts w:ascii="Times New Roman" w:hAnsi="Times New Roman" w:cs="Times New Roman"/>
          <w:sz w:val="24"/>
          <w:szCs w:val="24"/>
        </w:rPr>
        <w:t xml:space="preserve">five stroke subjects, thereby effectively balancing the number of training subjects (n = 15) between control and stroke models. </w:t>
      </w:r>
      <w:r w:rsidR="007E1D2F" w:rsidRPr="00EB7A99">
        <w:rPr>
          <w:rFonts w:ascii="Times New Roman" w:hAnsi="Times New Roman" w:cs="Times New Roman"/>
          <w:sz w:val="24"/>
          <w:szCs w:val="24"/>
        </w:rPr>
        <w:t>Unique t</w:t>
      </w:r>
      <w:r w:rsidRPr="00EB7A99">
        <w:rPr>
          <w:rFonts w:ascii="Times New Roman" w:hAnsi="Times New Roman" w:cs="Times New Roman"/>
          <w:sz w:val="24"/>
          <w:szCs w:val="24"/>
        </w:rPr>
        <w:t xml:space="preserve">est groups, </w:t>
      </w:r>
      <w:r w:rsidR="007E1D2F" w:rsidRPr="00EB7A99">
        <w:rPr>
          <w:rFonts w:ascii="Times New Roman" w:hAnsi="Times New Roman" w:cs="Times New Roman"/>
          <w:sz w:val="24"/>
          <w:szCs w:val="24"/>
        </w:rPr>
        <w:t xml:space="preserve">namely, </w:t>
      </w:r>
    </w:p>
    <w:p w14:paraId="667AFF1D" w14:textId="20E295C5" w:rsidR="00B9166B" w:rsidRPr="00EB7A99" w:rsidRDefault="00B9166B" w:rsidP="00EB7A99">
      <w:pPr>
        <w:spacing w:line="480" w:lineRule="auto"/>
        <w:jc w:val="center"/>
        <w:rPr>
          <w:rFonts w:ascii="Times New Roman" w:hAnsi="Times New Roman" w:cs="Times New Roman"/>
          <w:sz w:val="24"/>
          <w:szCs w:val="24"/>
        </w:rPr>
      </w:pPr>
      <m:oMath>
        <m:r>
          <w:rPr>
            <w:rFonts w:ascii="Cambria Math" w:hAnsi="Cambria Math" w:cs="Times New Roman"/>
            <w:sz w:val="24"/>
            <w:szCs w:val="24"/>
          </w:rPr>
          <m:t>C (n,k) = 15,504</m:t>
        </m:r>
      </m:oMath>
      <w:r w:rsidRPr="00EB7A99">
        <w:rPr>
          <w:rFonts w:ascii="Times New Roman" w:hAnsi="Times New Roman" w:cs="Times New Roman"/>
          <w:sz w:val="24"/>
          <w:szCs w:val="24"/>
        </w:rPr>
        <w:t xml:space="preserve"> combinations for </w:t>
      </w:r>
      <m:oMath>
        <m:r>
          <w:rPr>
            <w:rFonts w:ascii="Cambria Math" w:hAnsi="Cambria Math" w:cs="Times New Roman"/>
            <w:sz w:val="24"/>
            <w:szCs w:val="24"/>
          </w:rPr>
          <m:t>n = 20</m:t>
        </m:r>
      </m:oMath>
      <w:r w:rsidRPr="00EB7A99">
        <w:rPr>
          <w:rFonts w:ascii="Times New Roman" w:hAnsi="Times New Roman" w:cs="Times New Roman"/>
          <w:sz w:val="24"/>
          <w:szCs w:val="24"/>
        </w:rPr>
        <w:t xml:space="preserve"> stroke subjects, permutation size </w:t>
      </w:r>
      <m:oMath>
        <m:r>
          <w:rPr>
            <w:rFonts w:ascii="Cambria Math" w:hAnsi="Cambria Math" w:cs="Times New Roman"/>
            <w:sz w:val="24"/>
            <w:szCs w:val="24"/>
          </w:rPr>
          <m:t>k = 5</m:t>
        </m:r>
      </m:oMath>
      <w:r w:rsidRPr="00EB7A99">
        <w:rPr>
          <w:rFonts w:ascii="Times New Roman" w:hAnsi="Times New Roman" w:cs="Times New Roman"/>
          <w:sz w:val="24"/>
          <w:szCs w:val="24"/>
        </w:rPr>
        <w:t xml:space="preserve"> ,</w:t>
      </w:r>
    </w:p>
    <w:p w14:paraId="1799DA52" w14:textId="481DE74D" w:rsidR="00B9166B" w:rsidRPr="00EB7A99" w:rsidRDefault="00B9166B" w:rsidP="00EB7A99">
      <w:pPr>
        <w:pStyle w:val="ListParagraph"/>
        <w:spacing w:line="480" w:lineRule="auto"/>
        <w:ind w:left="0"/>
        <w:rPr>
          <w:rFonts w:ascii="Times New Roman" w:hAnsi="Times New Roman" w:cs="Times New Roman"/>
          <w:sz w:val="24"/>
          <w:szCs w:val="24"/>
        </w:rPr>
      </w:pPr>
      <w:proofErr w:type="gramStart"/>
      <w:r w:rsidRPr="00EB7A99">
        <w:rPr>
          <w:rFonts w:ascii="Times New Roman" w:hAnsi="Times New Roman" w:cs="Times New Roman"/>
          <w:sz w:val="24"/>
          <w:szCs w:val="24"/>
        </w:rPr>
        <w:t>were</w:t>
      </w:r>
      <w:proofErr w:type="gramEnd"/>
      <w:r w:rsidRPr="00EB7A99">
        <w:rPr>
          <w:rFonts w:ascii="Times New Roman" w:hAnsi="Times New Roman" w:cs="Times New Roman"/>
          <w:sz w:val="24"/>
          <w:szCs w:val="24"/>
        </w:rPr>
        <w:t xml:space="preserve"> labeled for the quantity of unstable ambulators contained in </w:t>
      </w:r>
      <w:r w:rsidR="00F66767" w:rsidRPr="00EB7A99">
        <w:rPr>
          <w:rFonts w:ascii="Times New Roman" w:hAnsi="Times New Roman" w:cs="Times New Roman"/>
          <w:sz w:val="24"/>
          <w:szCs w:val="24"/>
        </w:rPr>
        <w:t xml:space="preserve">each </w:t>
      </w:r>
      <w:r w:rsidRPr="00EB7A99">
        <w:rPr>
          <w:rFonts w:ascii="Times New Roman" w:hAnsi="Times New Roman" w:cs="Times New Roman"/>
          <w:sz w:val="24"/>
          <w:szCs w:val="24"/>
        </w:rPr>
        <w:t>test group</w:t>
      </w:r>
      <w:r w:rsidR="00F66767" w:rsidRPr="00EB7A99">
        <w:rPr>
          <w:rFonts w:ascii="Times New Roman" w:hAnsi="Times New Roman" w:cs="Times New Roman"/>
          <w:sz w:val="24"/>
          <w:szCs w:val="24"/>
        </w:rPr>
        <w:t>’s</w:t>
      </w:r>
      <w:r w:rsidRPr="00EB7A99">
        <w:rPr>
          <w:rFonts w:ascii="Times New Roman" w:hAnsi="Times New Roman" w:cs="Times New Roman"/>
          <w:sz w:val="24"/>
          <w:szCs w:val="24"/>
        </w:rPr>
        <w:t xml:space="preserve"> elements. A final subset of these test groups was randomly selected </w:t>
      </w:r>
      <w:r w:rsidR="007E1D2F" w:rsidRPr="00EB7A99">
        <w:rPr>
          <w:rFonts w:ascii="Times New Roman" w:hAnsi="Times New Roman" w:cs="Times New Roman"/>
          <w:sz w:val="24"/>
          <w:szCs w:val="24"/>
        </w:rPr>
        <w:t xml:space="preserve">in </w:t>
      </w:r>
      <w:r w:rsidR="00CA58E2" w:rsidRPr="00EB7A99">
        <w:rPr>
          <w:rFonts w:ascii="Times New Roman" w:hAnsi="Times New Roman" w:cs="Times New Roman"/>
          <w:sz w:val="24"/>
          <w:szCs w:val="24"/>
        </w:rPr>
        <w:t xml:space="preserve">an </w:t>
      </w:r>
      <w:r w:rsidR="007E1D2F" w:rsidRPr="00EB7A99">
        <w:rPr>
          <w:rFonts w:ascii="Times New Roman" w:hAnsi="Times New Roman" w:cs="Times New Roman"/>
          <w:sz w:val="24"/>
          <w:szCs w:val="24"/>
        </w:rPr>
        <w:t xml:space="preserve">attempt to </w:t>
      </w:r>
      <w:r w:rsidRPr="00EB7A99">
        <w:rPr>
          <w:rFonts w:ascii="Times New Roman" w:hAnsi="Times New Roman" w:cs="Times New Roman"/>
          <w:sz w:val="24"/>
          <w:szCs w:val="24"/>
        </w:rPr>
        <w:t>balance the distribution among test groups</w:t>
      </w:r>
      <w:r w:rsidR="007E1D2F" w:rsidRPr="00EB7A99">
        <w:rPr>
          <w:rFonts w:ascii="Times New Roman" w:hAnsi="Times New Roman" w:cs="Times New Roman"/>
          <w:sz w:val="24"/>
          <w:szCs w:val="24"/>
        </w:rPr>
        <w:t>. For test groups</w:t>
      </w:r>
      <w:r w:rsidRPr="00EB7A99">
        <w:rPr>
          <w:rFonts w:ascii="Times New Roman" w:hAnsi="Times New Roman" w:cs="Times New Roman"/>
          <w:sz w:val="24"/>
          <w:szCs w:val="24"/>
        </w:rPr>
        <w:t xml:space="preserve"> containing zero, one, two, or three unstable ambulators</w:t>
      </w:r>
      <w:r w:rsidR="007E1D2F" w:rsidRPr="00EB7A99">
        <w:rPr>
          <w:rFonts w:ascii="Times New Roman" w:hAnsi="Times New Roman" w:cs="Times New Roman"/>
          <w:sz w:val="24"/>
          <w:szCs w:val="24"/>
        </w:rPr>
        <w:t xml:space="preserve">, 100 </w:t>
      </w:r>
      <w:r w:rsidR="00F66767" w:rsidRPr="00EB7A99">
        <w:rPr>
          <w:rFonts w:ascii="Times New Roman" w:hAnsi="Times New Roman" w:cs="Times New Roman"/>
          <w:sz w:val="24"/>
          <w:szCs w:val="24"/>
        </w:rPr>
        <w:t xml:space="preserve">test groups were randomly selected per labeled quantity of unstable ambulators, </w:t>
      </w:r>
      <w:r w:rsidR="007E1D2F" w:rsidRPr="00EB7A99">
        <w:rPr>
          <w:rFonts w:ascii="Times New Roman" w:hAnsi="Times New Roman" w:cs="Times New Roman"/>
          <w:sz w:val="24"/>
          <w:szCs w:val="24"/>
        </w:rPr>
        <w:t xml:space="preserve">and </w:t>
      </w:r>
      <w:r w:rsidR="00F66767" w:rsidRPr="00EB7A99">
        <w:rPr>
          <w:rFonts w:ascii="Times New Roman" w:hAnsi="Times New Roman" w:cs="Times New Roman"/>
          <w:sz w:val="24"/>
          <w:szCs w:val="24"/>
        </w:rPr>
        <w:t xml:space="preserve">were </w:t>
      </w:r>
      <w:r w:rsidR="007E1D2F" w:rsidRPr="00EB7A99">
        <w:rPr>
          <w:rFonts w:ascii="Times New Roman" w:hAnsi="Times New Roman" w:cs="Times New Roman"/>
          <w:sz w:val="24"/>
          <w:szCs w:val="24"/>
        </w:rPr>
        <w:t xml:space="preserve">input </w:t>
      </w:r>
      <w:r w:rsidR="00F66767" w:rsidRPr="00EB7A99">
        <w:rPr>
          <w:rFonts w:ascii="Times New Roman" w:hAnsi="Times New Roman" w:cs="Times New Roman"/>
          <w:sz w:val="24"/>
          <w:szCs w:val="24"/>
        </w:rPr>
        <w:t xml:space="preserve">as test samples </w:t>
      </w:r>
      <w:r w:rsidR="007E1D2F" w:rsidRPr="00EB7A99">
        <w:rPr>
          <w:rFonts w:ascii="Times New Roman" w:hAnsi="Times New Roman" w:cs="Times New Roman"/>
          <w:sz w:val="24"/>
          <w:szCs w:val="24"/>
        </w:rPr>
        <w:t>into both models</w:t>
      </w:r>
      <w:r w:rsidRPr="00EB7A99">
        <w:rPr>
          <w:rFonts w:ascii="Times New Roman" w:hAnsi="Times New Roman" w:cs="Times New Roman"/>
          <w:sz w:val="24"/>
          <w:szCs w:val="24"/>
        </w:rPr>
        <w:t>. For</w:t>
      </w:r>
      <w:r w:rsidR="00F66767" w:rsidRPr="00EB7A99">
        <w:rPr>
          <w:rFonts w:ascii="Times New Roman" w:hAnsi="Times New Roman" w:cs="Times New Roman"/>
          <w:sz w:val="24"/>
          <w:szCs w:val="24"/>
        </w:rPr>
        <w:t xml:space="preserve"> test</w:t>
      </w:r>
      <w:r w:rsidRPr="00EB7A99">
        <w:rPr>
          <w:rFonts w:ascii="Times New Roman" w:hAnsi="Times New Roman" w:cs="Times New Roman"/>
          <w:sz w:val="24"/>
          <w:szCs w:val="24"/>
        </w:rPr>
        <w:t xml:space="preserve"> groups </w:t>
      </w:r>
      <w:r w:rsidR="00F66767" w:rsidRPr="00EB7A99">
        <w:rPr>
          <w:rFonts w:ascii="Times New Roman" w:hAnsi="Times New Roman" w:cs="Times New Roman"/>
          <w:sz w:val="24"/>
          <w:szCs w:val="24"/>
        </w:rPr>
        <w:t xml:space="preserve">containing </w:t>
      </w:r>
      <w:r w:rsidR="007E1D2F" w:rsidRPr="00EB7A99">
        <w:rPr>
          <w:rFonts w:ascii="Times New Roman" w:hAnsi="Times New Roman" w:cs="Times New Roman"/>
          <w:sz w:val="24"/>
          <w:szCs w:val="24"/>
        </w:rPr>
        <w:t xml:space="preserve">four or five </w:t>
      </w:r>
      <w:r w:rsidRPr="00EB7A99">
        <w:rPr>
          <w:rFonts w:ascii="Times New Roman" w:hAnsi="Times New Roman" w:cs="Times New Roman"/>
          <w:sz w:val="24"/>
          <w:szCs w:val="24"/>
        </w:rPr>
        <w:t>unstable ambulators, all available samples were taken</w:t>
      </w:r>
      <w:r w:rsidR="007E1D2F" w:rsidRPr="00EB7A99">
        <w:rPr>
          <w:rFonts w:ascii="Times New Roman" w:hAnsi="Times New Roman" w:cs="Times New Roman"/>
          <w:sz w:val="24"/>
          <w:szCs w:val="24"/>
        </w:rPr>
        <w:t xml:space="preserve"> (i.e. 75 and 1 subgroup(s), respectively)</w:t>
      </w:r>
      <w:r w:rsidR="00F66767" w:rsidRPr="00EB7A99">
        <w:rPr>
          <w:rFonts w:ascii="Times New Roman" w:hAnsi="Times New Roman" w:cs="Times New Roman"/>
          <w:sz w:val="24"/>
          <w:szCs w:val="24"/>
        </w:rPr>
        <w:t xml:space="preserve"> and provided as input to both models</w:t>
      </w:r>
      <w:r w:rsidRPr="00EB7A99">
        <w:rPr>
          <w:rFonts w:ascii="Times New Roman" w:hAnsi="Times New Roman" w:cs="Times New Roman"/>
          <w:sz w:val="24"/>
          <w:szCs w:val="24"/>
        </w:rPr>
        <w:t xml:space="preserve">. </w:t>
      </w:r>
    </w:p>
    <w:p w14:paraId="70EC4208" w14:textId="3465E404" w:rsidR="00B9166B" w:rsidRPr="00EB7A99" w:rsidRDefault="00B9166B" w:rsidP="00EB7A99">
      <w:pPr>
        <w:pStyle w:val="ListParagraph"/>
        <w:spacing w:line="480" w:lineRule="auto"/>
        <w:ind w:left="0"/>
        <w:rPr>
          <w:rFonts w:ascii="Times New Roman" w:hAnsi="Times New Roman" w:cs="Times New Roman"/>
          <w:sz w:val="24"/>
          <w:szCs w:val="24"/>
        </w:rPr>
      </w:pPr>
    </w:p>
    <w:p w14:paraId="32AE13DC" w14:textId="75BCEEB5" w:rsidR="00B9166B" w:rsidRPr="00EB7A99" w:rsidRDefault="00B9166B" w:rsidP="00EB7A99">
      <w:pPr>
        <w:pStyle w:val="ListParagraph"/>
        <w:spacing w:line="480" w:lineRule="auto"/>
        <w:ind w:left="0"/>
        <w:jc w:val="center"/>
        <w:rPr>
          <w:rFonts w:ascii="Times New Roman" w:hAnsi="Times New Roman" w:cs="Times New Roman"/>
          <w:b/>
          <w:sz w:val="24"/>
          <w:szCs w:val="24"/>
        </w:rPr>
      </w:pPr>
      <w:r w:rsidRPr="00EB7A99">
        <w:rPr>
          <w:rFonts w:ascii="Times New Roman" w:hAnsi="Times New Roman" w:cs="Times New Roman"/>
          <w:b/>
          <w:sz w:val="24"/>
          <w:szCs w:val="24"/>
        </w:rPr>
        <w:lastRenderedPageBreak/>
        <w:t xml:space="preserve">----- [Fig. </w:t>
      </w:r>
      <w:r w:rsidR="00230FB6" w:rsidRPr="00EB7A99">
        <w:rPr>
          <w:rFonts w:ascii="Times New Roman" w:hAnsi="Times New Roman" w:cs="Times New Roman"/>
          <w:b/>
          <w:sz w:val="24"/>
          <w:szCs w:val="24"/>
        </w:rPr>
        <w:t>S</w:t>
      </w:r>
      <w:r w:rsidRPr="00EB7A99">
        <w:rPr>
          <w:rFonts w:ascii="Times New Roman" w:hAnsi="Times New Roman" w:cs="Times New Roman"/>
          <w:b/>
          <w:sz w:val="24"/>
          <w:szCs w:val="24"/>
        </w:rPr>
        <w:t>1] -----</w:t>
      </w:r>
    </w:p>
    <w:p w14:paraId="1E87B982" w14:textId="056BE89D" w:rsidR="00CF47E1" w:rsidRPr="00EB7A99" w:rsidRDefault="00CF47E1" w:rsidP="00EB7A99">
      <w:pPr>
        <w:spacing w:line="480" w:lineRule="auto"/>
        <w:rPr>
          <w:rFonts w:ascii="Times New Roman" w:hAnsi="Times New Roman" w:cs="Times New Roman"/>
          <w:sz w:val="24"/>
          <w:szCs w:val="24"/>
        </w:rPr>
      </w:pPr>
    </w:p>
    <w:p w14:paraId="17C77301" w14:textId="1E963D09" w:rsidR="006C12AC" w:rsidRPr="00EB7A99" w:rsidRDefault="006C12AC" w:rsidP="00EB7A99">
      <w:pPr>
        <w:spacing w:line="480" w:lineRule="auto"/>
        <w:rPr>
          <w:rFonts w:ascii="Times New Roman" w:hAnsi="Times New Roman" w:cs="Times New Roman"/>
          <w:b/>
          <w:sz w:val="24"/>
          <w:szCs w:val="24"/>
        </w:rPr>
      </w:pPr>
      <w:r w:rsidRPr="00EB7A99">
        <w:rPr>
          <w:rFonts w:ascii="Times New Roman" w:hAnsi="Times New Roman" w:cs="Times New Roman"/>
          <w:b/>
          <w:sz w:val="24"/>
          <w:szCs w:val="24"/>
        </w:rPr>
        <w:t>SUPPLEMENTARY REFERENCES</w:t>
      </w:r>
    </w:p>
    <w:p w14:paraId="2BAB269B" w14:textId="3C9D453D" w:rsidR="000A2E55" w:rsidRPr="00EB7A99" w:rsidRDefault="006C12AC"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sz w:val="24"/>
          <w:szCs w:val="24"/>
        </w:rPr>
        <w:fldChar w:fldCharType="begin" w:fldLock="1"/>
      </w:r>
      <w:r w:rsidRPr="00EB7A99">
        <w:rPr>
          <w:rFonts w:ascii="Times New Roman" w:hAnsi="Times New Roman" w:cs="Times New Roman"/>
          <w:sz w:val="24"/>
          <w:szCs w:val="24"/>
        </w:rPr>
        <w:instrText xml:space="preserve">ADDIN Mendeley Bibliography CSL_BIBLIOGRAPHY </w:instrText>
      </w:r>
      <w:r w:rsidRPr="00EB7A99">
        <w:rPr>
          <w:rFonts w:ascii="Times New Roman" w:hAnsi="Times New Roman" w:cs="Times New Roman"/>
          <w:sz w:val="24"/>
          <w:szCs w:val="24"/>
        </w:rPr>
        <w:fldChar w:fldCharType="separate"/>
      </w:r>
      <w:r w:rsidR="000A2E55" w:rsidRPr="00EB7A99">
        <w:rPr>
          <w:rFonts w:ascii="Times New Roman" w:hAnsi="Times New Roman" w:cs="Times New Roman"/>
          <w:noProof/>
          <w:sz w:val="24"/>
          <w:szCs w:val="24"/>
        </w:rPr>
        <w:t xml:space="preserve">1. W. ME, H. NF, W. CD, G. R, Systematic review of risk prediction models for falls after stroke, </w:t>
      </w:r>
      <w:r w:rsidR="000A2E55" w:rsidRPr="00EB7A99">
        <w:rPr>
          <w:rFonts w:ascii="Times New Roman" w:hAnsi="Times New Roman" w:cs="Times New Roman"/>
          <w:i/>
          <w:iCs/>
          <w:noProof/>
          <w:sz w:val="24"/>
          <w:szCs w:val="24"/>
        </w:rPr>
        <w:t>J. Epidemiol. Community Health</w:t>
      </w:r>
      <w:r w:rsidR="000A2E55" w:rsidRPr="00EB7A99">
        <w:rPr>
          <w:rFonts w:ascii="Times New Roman" w:hAnsi="Times New Roman" w:cs="Times New Roman"/>
          <w:noProof/>
          <w:sz w:val="24"/>
          <w:szCs w:val="24"/>
        </w:rPr>
        <w:t xml:space="preserve"> </w:t>
      </w:r>
      <w:r w:rsidR="000A2E55" w:rsidRPr="00EB7A99">
        <w:rPr>
          <w:rFonts w:ascii="Times New Roman" w:hAnsi="Times New Roman" w:cs="Times New Roman"/>
          <w:b/>
          <w:bCs/>
          <w:noProof/>
          <w:sz w:val="24"/>
          <w:szCs w:val="24"/>
        </w:rPr>
        <w:t>70</w:t>
      </w:r>
      <w:r w:rsidR="000A2E55" w:rsidRPr="00EB7A99">
        <w:rPr>
          <w:rFonts w:ascii="Times New Roman" w:hAnsi="Times New Roman" w:cs="Times New Roman"/>
          <w:noProof/>
          <w:sz w:val="24"/>
          <w:szCs w:val="24"/>
        </w:rPr>
        <w:t>, 513–519 (2016).</w:t>
      </w:r>
    </w:p>
    <w:p w14:paraId="5FF4CD51"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2. A. AH, A.-E. ES, A. S, S. B, Reliability, validity, and responsiveness of three scales for measuring balance in patients with chronic stroke, </w:t>
      </w:r>
      <w:r w:rsidRPr="00EB7A99">
        <w:rPr>
          <w:rFonts w:ascii="Times New Roman" w:hAnsi="Times New Roman" w:cs="Times New Roman"/>
          <w:i/>
          <w:iCs/>
          <w:noProof/>
          <w:sz w:val="24"/>
          <w:szCs w:val="24"/>
        </w:rPr>
        <w:t>BMC Neurol.</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18</w:t>
      </w:r>
      <w:r w:rsidRPr="00EB7A99">
        <w:rPr>
          <w:rFonts w:ascii="Times New Roman" w:hAnsi="Times New Roman" w:cs="Times New Roman"/>
          <w:noProof/>
          <w:sz w:val="24"/>
          <w:szCs w:val="24"/>
        </w:rPr>
        <w:t xml:space="preserve"> (2018), doi:10.1186/S12883-018-1146-9.</w:t>
      </w:r>
    </w:p>
    <w:p w14:paraId="4D75816E"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3. D. PW, L. SM, K. J, Defining post-stroke recovery: implications for design and interpretation of drug trials, </w:t>
      </w:r>
      <w:r w:rsidRPr="00EB7A99">
        <w:rPr>
          <w:rFonts w:ascii="Times New Roman" w:hAnsi="Times New Roman" w:cs="Times New Roman"/>
          <w:i/>
          <w:iCs/>
          <w:noProof/>
          <w:sz w:val="24"/>
          <w:szCs w:val="24"/>
        </w:rPr>
        <w:t>Neuropharmacology</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39</w:t>
      </w:r>
      <w:r w:rsidRPr="00EB7A99">
        <w:rPr>
          <w:rFonts w:ascii="Times New Roman" w:hAnsi="Times New Roman" w:cs="Times New Roman"/>
          <w:noProof/>
          <w:sz w:val="24"/>
          <w:szCs w:val="24"/>
        </w:rPr>
        <w:t>, 835–841 (2000).</w:t>
      </w:r>
    </w:p>
    <w:p w14:paraId="2FF32D1B"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4. S. D, K. SJ, L. JM, T. JM, C. BL, L. DS, K. SE, Utility of the NIH Stroke Scale as a predictor of hospital disposition, </w:t>
      </w:r>
      <w:r w:rsidRPr="00EB7A99">
        <w:rPr>
          <w:rFonts w:ascii="Times New Roman" w:hAnsi="Times New Roman" w:cs="Times New Roman"/>
          <w:i/>
          <w:iCs/>
          <w:noProof/>
          <w:sz w:val="24"/>
          <w:szCs w:val="24"/>
        </w:rPr>
        <w:t>Stroke</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34</w:t>
      </w:r>
      <w:r w:rsidRPr="00EB7A99">
        <w:rPr>
          <w:rFonts w:ascii="Times New Roman" w:hAnsi="Times New Roman" w:cs="Times New Roman"/>
          <w:noProof/>
          <w:sz w:val="24"/>
          <w:szCs w:val="24"/>
        </w:rPr>
        <w:t>, 134–137 (2003).</w:t>
      </w:r>
    </w:p>
    <w:p w14:paraId="1F163DFA"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5. A.-G. M, M.-A. JM, C.-S. JC, B.-S. S, P.-J. C, M.-F. A,  de L.-R. ME, M.-S. AB, M.-B. AM, Instruments for assessing the risk of falls in acute hospitalized patients: a systematic review and meta-analysis, </w:t>
      </w:r>
      <w:r w:rsidRPr="00EB7A99">
        <w:rPr>
          <w:rFonts w:ascii="Times New Roman" w:hAnsi="Times New Roman" w:cs="Times New Roman"/>
          <w:i/>
          <w:iCs/>
          <w:noProof/>
          <w:sz w:val="24"/>
          <w:szCs w:val="24"/>
        </w:rPr>
        <w:t>BMC Health Serv. Res.</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13</w:t>
      </w:r>
      <w:r w:rsidRPr="00EB7A99">
        <w:rPr>
          <w:rFonts w:ascii="Times New Roman" w:hAnsi="Times New Roman" w:cs="Times New Roman"/>
          <w:noProof/>
          <w:sz w:val="24"/>
          <w:szCs w:val="24"/>
        </w:rPr>
        <w:t xml:space="preserve"> (2013), doi:10.1186/1472-6963-13-122.</w:t>
      </w:r>
    </w:p>
    <w:p w14:paraId="33545924"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6. W. ME, G. R, B. F, W. D, H. JA, M. S, C. R, C. M, M. DJH, H. F, Validation of two risk-prediction models for recurrent falls in the first year after stroke: a prospective cohort study, </w:t>
      </w:r>
      <w:r w:rsidRPr="00EB7A99">
        <w:rPr>
          <w:rFonts w:ascii="Times New Roman" w:hAnsi="Times New Roman" w:cs="Times New Roman"/>
          <w:i/>
          <w:iCs/>
          <w:noProof/>
          <w:sz w:val="24"/>
          <w:szCs w:val="24"/>
        </w:rPr>
        <w:t>Age Ageing</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46</w:t>
      </w:r>
      <w:r w:rsidRPr="00EB7A99">
        <w:rPr>
          <w:rFonts w:ascii="Times New Roman" w:hAnsi="Times New Roman" w:cs="Times New Roman"/>
          <w:noProof/>
          <w:sz w:val="24"/>
          <w:szCs w:val="24"/>
        </w:rPr>
        <w:t>, 642–648 (2017).</w:t>
      </w:r>
    </w:p>
    <w:p w14:paraId="45EC9232"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7. C. M, T. J, B.-A. H, O. MW, Standardized Outcome Measures in Stroke Rehabilitation and Falls After Discharge: A Cohort Study, </w:t>
      </w:r>
      <w:r w:rsidRPr="00EB7A99">
        <w:rPr>
          <w:rFonts w:ascii="Times New Roman" w:hAnsi="Times New Roman" w:cs="Times New Roman"/>
          <w:i/>
          <w:iCs/>
          <w:noProof/>
          <w:sz w:val="24"/>
          <w:szCs w:val="24"/>
        </w:rPr>
        <w:t>PM R</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13</w:t>
      </w:r>
      <w:r w:rsidRPr="00EB7A99">
        <w:rPr>
          <w:rFonts w:ascii="Times New Roman" w:hAnsi="Times New Roman" w:cs="Times New Roman"/>
          <w:noProof/>
          <w:sz w:val="24"/>
          <w:szCs w:val="24"/>
        </w:rPr>
        <w:t>, 265–273 (2021).</w:t>
      </w:r>
    </w:p>
    <w:p w14:paraId="1FB15305"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8. M. Punt, S. M. Bruijn, H. Wittink, I. G. Van De Port, J. H. Van Dieën, Do clinical </w:t>
      </w:r>
      <w:r w:rsidRPr="00EB7A99">
        <w:rPr>
          <w:rFonts w:ascii="Times New Roman" w:hAnsi="Times New Roman" w:cs="Times New Roman"/>
          <w:noProof/>
          <w:sz w:val="24"/>
          <w:szCs w:val="24"/>
        </w:rPr>
        <w:lastRenderedPageBreak/>
        <w:t xml:space="preserve">assessments, steady-state or daily-life gait characteristics predict falls in ambulatory chronic stroke survivors?, </w:t>
      </w:r>
      <w:r w:rsidRPr="00EB7A99">
        <w:rPr>
          <w:rFonts w:ascii="Times New Roman" w:hAnsi="Times New Roman" w:cs="Times New Roman"/>
          <w:i/>
          <w:iCs/>
          <w:noProof/>
          <w:sz w:val="24"/>
          <w:szCs w:val="24"/>
        </w:rPr>
        <w:t>J. Rehabil. Med.</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49</w:t>
      </w:r>
      <w:r w:rsidRPr="00EB7A99">
        <w:rPr>
          <w:rFonts w:ascii="Times New Roman" w:hAnsi="Times New Roman" w:cs="Times New Roman"/>
          <w:noProof/>
          <w:sz w:val="24"/>
          <w:szCs w:val="24"/>
        </w:rPr>
        <w:t>, 402–409 (2017).</w:t>
      </w:r>
    </w:p>
    <w:p w14:paraId="70CAABE6"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9. V. Weerdesteyn, M. De Niet, H. J. R. Van Duijnhoven, A. C. H. Geurts, Falls in individuals with stroke, </w:t>
      </w:r>
      <w:r w:rsidRPr="00EB7A99">
        <w:rPr>
          <w:rFonts w:ascii="Times New Roman" w:hAnsi="Times New Roman" w:cs="Times New Roman"/>
          <w:i/>
          <w:iCs/>
          <w:noProof/>
          <w:sz w:val="24"/>
          <w:szCs w:val="24"/>
        </w:rPr>
        <w:t>J. Rehabil. Res. Dev.</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45</w:t>
      </w:r>
      <w:r w:rsidRPr="00EB7A99">
        <w:rPr>
          <w:rFonts w:ascii="Times New Roman" w:hAnsi="Times New Roman" w:cs="Times New Roman"/>
          <w:noProof/>
          <w:sz w:val="24"/>
          <w:szCs w:val="24"/>
        </w:rPr>
        <w:t>, 1195–1214 (2008).</w:t>
      </w:r>
    </w:p>
    <w:p w14:paraId="2A318287"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10. F. Buganè, M. G. Benedetti, V. D’Angeli, A. Leardini, Estimation of pelvis kinematics in level walking based on a single inertial sensor positioned close to the sacrum: validation on healthy subjects with stereophotogrammetric system, </w:t>
      </w:r>
      <w:r w:rsidRPr="00EB7A99">
        <w:rPr>
          <w:rFonts w:ascii="Times New Roman" w:hAnsi="Times New Roman" w:cs="Times New Roman"/>
          <w:i/>
          <w:iCs/>
          <w:noProof/>
          <w:sz w:val="24"/>
          <w:szCs w:val="24"/>
        </w:rPr>
        <w:t>Biomed. Eng. Online</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13</w:t>
      </w:r>
      <w:r w:rsidRPr="00EB7A99">
        <w:rPr>
          <w:rFonts w:ascii="Times New Roman" w:hAnsi="Times New Roman" w:cs="Times New Roman"/>
          <w:noProof/>
          <w:sz w:val="24"/>
          <w:szCs w:val="24"/>
        </w:rPr>
        <w:t xml:space="preserve"> (2014), doi:10.1186/1475-925X-13-146.</w:t>
      </w:r>
    </w:p>
    <w:p w14:paraId="48694524"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11. M. K. O’brien, M. D. Hidalgo-Araya, C. K. Mummidisetty, H. Vallery, R. Ghaffari, J. A. Rogers, R. Lieber, A. Jayaraman, Augmenting clinical outcome measures of gait and balance with a single inertial sensor in age-ranged healthy adults, </w:t>
      </w:r>
      <w:r w:rsidRPr="00EB7A99">
        <w:rPr>
          <w:rFonts w:ascii="Times New Roman" w:hAnsi="Times New Roman" w:cs="Times New Roman"/>
          <w:i/>
          <w:iCs/>
          <w:noProof/>
          <w:sz w:val="24"/>
          <w:szCs w:val="24"/>
        </w:rPr>
        <w:t>Sensors (Switzerland)</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19</w:t>
      </w:r>
      <w:r w:rsidRPr="00EB7A99">
        <w:rPr>
          <w:rFonts w:ascii="Times New Roman" w:hAnsi="Times New Roman" w:cs="Times New Roman"/>
          <w:noProof/>
          <w:sz w:val="24"/>
          <w:szCs w:val="24"/>
        </w:rPr>
        <w:t xml:space="preserve"> (2019), doi:10.3390/s19204537.</w:t>
      </w:r>
    </w:p>
    <w:p w14:paraId="098E5697"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12. P. J, G. M, G. JK, M. SJ, Classification of walking handicap in the stroke population, </w:t>
      </w:r>
      <w:r w:rsidRPr="00EB7A99">
        <w:rPr>
          <w:rFonts w:ascii="Times New Roman" w:hAnsi="Times New Roman" w:cs="Times New Roman"/>
          <w:i/>
          <w:iCs/>
          <w:noProof/>
          <w:sz w:val="24"/>
          <w:szCs w:val="24"/>
        </w:rPr>
        <w:t>Stroke</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26</w:t>
      </w:r>
      <w:r w:rsidRPr="00EB7A99">
        <w:rPr>
          <w:rFonts w:ascii="Times New Roman" w:hAnsi="Times New Roman" w:cs="Times New Roman"/>
          <w:noProof/>
          <w:sz w:val="24"/>
          <w:szCs w:val="24"/>
        </w:rPr>
        <w:t>, 982–989 (1995).</w:t>
      </w:r>
    </w:p>
    <w:p w14:paraId="349C9089"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13. G. D. Fulk, Y. He, P. Boyne, K. Dunning, Predicting Home and Community Walking Activity Poststroke, </w:t>
      </w:r>
      <w:r w:rsidRPr="00EB7A99">
        <w:rPr>
          <w:rFonts w:ascii="Times New Roman" w:hAnsi="Times New Roman" w:cs="Times New Roman"/>
          <w:i/>
          <w:iCs/>
          <w:noProof/>
          <w:sz w:val="24"/>
          <w:szCs w:val="24"/>
        </w:rPr>
        <w:t>Stroke</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48</w:t>
      </w:r>
      <w:r w:rsidRPr="00EB7A99">
        <w:rPr>
          <w:rFonts w:ascii="Times New Roman" w:hAnsi="Times New Roman" w:cs="Times New Roman"/>
          <w:noProof/>
          <w:sz w:val="24"/>
          <w:szCs w:val="24"/>
        </w:rPr>
        <w:t>, 406–411 (2017).</w:t>
      </w:r>
    </w:p>
    <w:p w14:paraId="75619BA7" w14:textId="77777777" w:rsidR="000A2E55" w:rsidRPr="00EB7A99" w:rsidRDefault="000A2E55" w:rsidP="00EB7A99">
      <w:pPr>
        <w:widowControl w:val="0"/>
        <w:autoSpaceDE w:val="0"/>
        <w:autoSpaceDN w:val="0"/>
        <w:adjustRightInd w:val="0"/>
        <w:spacing w:line="480" w:lineRule="auto"/>
        <w:rPr>
          <w:rFonts w:ascii="Times New Roman" w:hAnsi="Times New Roman" w:cs="Times New Roman"/>
          <w:noProof/>
          <w:sz w:val="24"/>
          <w:szCs w:val="24"/>
        </w:rPr>
      </w:pPr>
      <w:r w:rsidRPr="00EB7A99">
        <w:rPr>
          <w:rFonts w:ascii="Times New Roman" w:hAnsi="Times New Roman" w:cs="Times New Roman"/>
          <w:noProof/>
          <w:sz w:val="24"/>
          <w:szCs w:val="24"/>
        </w:rPr>
        <w:t xml:space="preserve">14. M. Patel, A. Pavic, V. A. Goodwin, Wearable inertial sensors to measure gait and posture characteristic differences in older adult fallers and non-fallers: A scoping review, </w:t>
      </w:r>
      <w:r w:rsidRPr="00EB7A99">
        <w:rPr>
          <w:rFonts w:ascii="Times New Roman" w:hAnsi="Times New Roman" w:cs="Times New Roman"/>
          <w:i/>
          <w:iCs/>
          <w:noProof/>
          <w:sz w:val="24"/>
          <w:szCs w:val="24"/>
        </w:rPr>
        <w:t>Gait Posture</w:t>
      </w:r>
      <w:r w:rsidRPr="00EB7A99">
        <w:rPr>
          <w:rFonts w:ascii="Times New Roman" w:hAnsi="Times New Roman" w:cs="Times New Roman"/>
          <w:noProof/>
          <w:sz w:val="24"/>
          <w:szCs w:val="24"/>
        </w:rPr>
        <w:t xml:space="preserve"> </w:t>
      </w:r>
      <w:r w:rsidRPr="00EB7A99">
        <w:rPr>
          <w:rFonts w:ascii="Times New Roman" w:hAnsi="Times New Roman" w:cs="Times New Roman"/>
          <w:b/>
          <w:bCs/>
          <w:noProof/>
          <w:sz w:val="24"/>
          <w:szCs w:val="24"/>
        </w:rPr>
        <w:t>76</w:t>
      </w:r>
      <w:r w:rsidRPr="00EB7A99">
        <w:rPr>
          <w:rFonts w:ascii="Times New Roman" w:hAnsi="Times New Roman" w:cs="Times New Roman"/>
          <w:noProof/>
          <w:sz w:val="24"/>
          <w:szCs w:val="24"/>
        </w:rPr>
        <w:t>, 110–121 (2020).</w:t>
      </w:r>
    </w:p>
    <w:p w14:paraId="48AA6DDE" w14:textId="7AABBC5E" w:rsidR="00EB7A99" w:rsidRDefault="006C12AC" w:rsidP="00EB7A99">
      <w:pPr>
        <w:spacing w:line="480" w:lineRule="auto"/>
        <w:rPr>
          <w:rFonts w:ascii="Times New Roman" w:hAnsi="Times New Roman" w:cs="Times New Roman"/>
          <w:sz w:val="24"/>
          <w:szCs w:val="24"/>
        </w:rPr>
      </w:pPr>
      <w:r w:rsidRPr="00EB7A99">
        <w:rPr>
          <w:rFonts w:ascii="Times New Roman" w:hAnsi="Times New Roman" w:cs="Times New Roman"/>
          <w:sz w:val="24"/>
          <w:szCs w:val="24"/>
        </w:rPr>
        <w:fldChar w:fldCharType="end"/>
      </w:r>
    </w:p>
    <w:p w14:paraId="29666B58" w14:textId="77777777" w:rsidR="00EB7A99" w:rsidRPr="00EB7A99" w:rsidRDefault="00EB7A99" w:rsidP="00EB7A99">
      <w:pPr>
        <w:spacing w:line="480" w:lineRule="auto"/>
        <w:rPr>
          <w:rFonts w:ascii="Times New Roman" w:hAnsi="Times New Roman" w:cs="Times New Roman"/>
          <w:sz w:val="24"/>
          <w:szCs w:val="24"/>
        </w:rPr>
      </w:pPr>
    </w:p>
    <w:p w14:paraId="50239FA1" w14:textId="1EC70F29" w:rsidR="00F66767"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r>
        <w:rPr>
          <w:rFonts w:ascii="Times New Roman" w:hAnsi="Times New Roman" w:cs="Times New Roman"/>
          <w:b/>
          <w:noProof/>
          <w:color w:val="333333"/>
          <w:sz w:val="24"/>
          <w:szCs w:val="24"/>
          <w:shd w:val="clear" w:color="auto" w:fill="FFFFFF"/>
          <w:lang w:val="en-IN" w:eastAsia="en-IN"/>
        </w:rPr>
        <w:lastRenderedPageBreak/>
        <w:drawing>
          <wp:anchor distT="0" distB="0" distL="114300" distR="114300" simplePos="0" relativeHeight="251658240" behindDoc="0" locked="0" layoutInCell="1" allowOverlap="1" wp14:anchorId="43B074BB" wp14:editId="5B18B5CE">
            <wp:simplePos x="0" y="0"/>
            <wp:positionH relativeFrom="margin">
              <wp:align>left</wp:align>
            </wp:positionH>
            <wp:positionV relativeFrom="paragraph">
              <wp:posOffset>285750</wp:posOffset>
            </wp:positionV>
            <wp:extent cx="4559300" cy="3469640"/>
            <wp:effectExtent l="0" t="0" r="0" b="0"/>
            <wp:wrapThrough wrapText="bothSides">
              <wp:wrapPolygon edited="0">
                <wp:start x="5957" y="0"/>
                <wp:lineTo x="0" y="237"/>
                <wp:lineTo x="0" y="6404"/>
                <wp:lineTo x="6047" y="7590"/>
                <wp:lineTo x="6318" y="9488"/>
                <wp:lineTo x="90" y="10673"/>
                <wp:lineTo x="0" y="11504"/>
                <wp:lineTo x="0" y="16722"/>
                <wp:lineTo x="4964" y="17078"/>
                <wp:lineTo x="4964" y="19094"/>
                <wp:lineTo x="6137" y="20873"/>
                <wp:lineTo x="6227" y="21466"/>
                <wp:lineTo x="10018" y="21466"/>
                <wp:lineTo x="10018" y="20873"/>
                <wp:lineTo x="14440" y="20873"/>
                <wp:lineTo x="15974" y="20398"/>
                <wp:lineTo x="15704" y="16247"/>
                <wp:lineTo x="13989" y="15180"/>
                <wp:lineTo x="14621" y="15180"/>
                <wp:lineTo x="16516" y="13757"/>
                <wp:lineTo x="16516" y="13283"/>
                <wp:lineTo x="21480" y="12215"/>
                <wp:lineTo x="21480" y="11266"/>
                <wp:lineTo x="21119" y="9488"/>
                <wp:lineTo x="21209" y="8895"/>
                <wp:lineTo x="19314" y="8183"/>
                <wp:lineTo x="15252" y="7590"/>
                <wp:lineTo x="15162" y="5693"/>
                <wp:lineTo x="15974" y="4862"/>
                <wp:lineTo x="15974" y="2372"/>
                <wp:lineTo x="15704" y="1898"/>
                <wp:lineTo x="14711" y="1898"/>
                <wp:lineTo x="15884" y="1186"/>
                <wp:lineTo x="15613" y="712"/>
                <wp:lineTo x="10198" y="0"/>
                <wp:lineTo x="5957"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kScape_Supp_Figure_1.png"/>
                    <pic:cNvPicPr/>
                  </pic:nvPicPr>
                  <pic:blipFill>
                    <a:blip r:embed="rId7">
                      <a:extLst>
                        <a:ext uri="{28A0092B-C50C-407E-A947-70E740481C1C}">
                          <a14:useLocalDpi xmlns:a14="http://schemas.microsoft.com/office/drawing/2010/main" val="0"/>
                        </a:ext>
                      </a:extLst>
                    </a:blip>
                    <a:stretch>
                      <a:fillRect/>
                    </a:stretch>
                  </pic:blipFill>
                  <pic:spPr>
                    <a:xfrm>
                      <a:off x="0" y="0"/>
                      <a:ext cx="4559300" cy="3469640"/>
                    </a:xfrm>
                    <a:prstGeom prst="rect">
                      <a:avLst/>
                    </a:prstGeom>
                  </pic:spPr>
                </pic:pic>
              </a:graphicData>
            </a:graphic>
            <wp14:sizeRelH relativeFrom="page">
              <wp14:pctWidth>0</wp14:pctWidth>
            </wp14:sizeRelH>
            <wp14:sizeRelV relativeFrom="page">
              <wp14:pctHeight>0</wp14:pctHeight>
            </wp14:sizeRelV>
          </wp:anchor>
        </w:drawing>
      </w:r>
      <w:r w:rsidR="00F66767" w:rsidRPr="003B1418">
        <w:rPr>
          <w:rFonts w:ascii="Times New Roman" w:hAnsi="Times New Roman" w:cs="Times New Roman"/>
          <w:b/>
          <w:color w:val="333333"/>
          <w:sz w:val="24"/>
          <w:szCs w:val="24"/>
          <w:shd w:val="clear" w:color="auto" w:fill="FFFFFF"/>
        </w:rPr>
        <w:t>Figures</w:t>
      </w:r>
    </w:p>
    <w:p w14:paraId="559D4E5E" w14:textId="22F507EA"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2D3D53C2" w14:textId="28B4C17E"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396FB865" w14:textId="5F59CF8C"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137C0E5F" w14:textId="3361F8E8"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5096BD3D" w14:textId="7CD35BA3"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536F6916" w14:textId="15E8E976"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2351138F" w14:textId="50A17DA7"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5E5E46F5" w14:textId="77777777"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4E8ECAB8" w14:textId="5703E65D" w:rsidR="00F66767" w:rsidRDefault="00F66767"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6B712EB2" w14:textId="77777777"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698939B3" w14:textId="77777777"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665416CF" w14:textId="77777777" w:rsidR="00EB7A99" w:rsidRDefault="00EB7A99"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p>
    <w:p w14:paraId="47A6FD07" w14:textId="7EA6F6B9" w:rsidR="00F66767" w:rsidRPr="00875A06" w:rsidRDefault="00F66767" w:rsidP="003B1418">
      <w:pPr>
        <w:widowControl w:val="0"/>
        <w:autoSpaceDE w:val="0"/>
        <w:autoSpaceDN w:val="0"/>
        <w:adjustRightInd w:val="0"/>
        <w:spacing w:before="120"/>
        <w:rPr>
          <w:rFonts w:ascii="Times New Roman" w:hAnsi="Times New Roman" w:cs="Times New Roman"/>
          <w:b/>
          <w:color w:val="333333"/>
          <w:sz w:val="24"/>
          <w:szCs w:val="24"/>
          <w:shd w:val="clear" w:color="auto" w:fill="FFFFFF"/>
        </w:rPr>
      </w:pPr>
      <w:r w:rsidRPr="003B1418">
        <w:rPr>
          <w:rFonts w:ascii="Times New Roman" w:hAnsi="Times New Roman" w:cs="Times New Roman"/>
          <w:b/>
          <w:sz w:val="24"/>
          <w:szCs w:val="24"/>
        </w:rPr>
        <w:t>Fig. S1. Modeling Scheme to Stratify Stroke-Related Impairments.</w:t>
      </w:r>
      <w:r>
        <w:rPr>
          <w:rFonts w:ascii="Times New Roman" w:hAnsi="Times New Roman" w:cs="Times New Roman"/>
          <w:b/>
          <w:sz w:val="24"/>
          <w:szCs w:val="24"/>
        </w:rPr>
        <w:t xml:space="preserve"> </w:t>
      </w:r>
      <w:r>
        <w:rPr>
          <w:rFonts w:ascii="Times New Roman" w:hAnsi="Times New Roman" w:cs="Times New Roman"/>
          <w:sz w:val="24"/>
          <w:szCs w:val="24"/>
        </w:rPr>
        <w:t>Modeling scheme to split train and test groups for co</w:t>
      </w:r>
      <w:r w:rsidR="005240AE">
        <w:rPr>
          <w:rFonts w:ascii="Times New Roman" w:hAnsi="Times New Roman" w:cs="Times New Roman"/>
          <w:sz w:val="24"/>
          <w:szCs w:val="24"/>
        </w:rPr>
        <w:t>ntrol- and stroke-trained models in the stroke-related impairment analysis</w:t>
      </w:r>
      <w:r>
        <w:rPr>
          <w:rFonts w:ascii="Times New Roman" w:hAnsi="Times New Roman" w:cs="Times New Roman"/>
          <w:sz w:val="24"/>
          <w:szCs w:val="24"/>
        </w:rPr>
        <w:t>. Each test group of features (</w:t>
      </w:r>
      <w:r>
        <w:rPr>
          <w:rFonts w:ascii="Times New Roman" w:hAnsi="Times New Roman" w:cs="Times New Roman"/>
          <w:i/>
          <w:sz w:val="24"/>
          <w:szCs w:val="24"/>
        </w:rPr>
        <w:t xml:space="preserve">n </w:t>
      </w:r>
      <w:r>
        <w:rPr>
          <w:rFonts w:ascii="Times New Roman" w:hAnsi="Times New Roman" w:cs="Times New Roman"/>
          <w:sz w:val="24"/>
          <w:szCs w:val="24"/>
        </w:rPr>
        <w:t xml:space="preserve">= </w:t>
      </w:r>
      <w:r w:rsidR="00265E99">
        <w:rPr>
          <w:rFonts w:ascii="Times New Roman" w:hAnsi="Times New Roman" w:cs="Times New Roman"/>
          <w:sz w:val="24"/>
          <w:szCs w:val="24"/>
        </w:rPr>
        <w:t>five</w:t>
      </w:r>
      <w:r>
        <w:rPr>
          <w:rFonts w:ascii="Times New Roman" w:hAnsi="Times New Roman" w:cs="Times New Roman"/>
          <w:sz w:val="24"/>
          <w:szCs w:val="24"/>
        </w:rPr>
        <w:t xml:space="preserve"> stroke subjects) were set aside for testing. The control model </w:t>
      </w:r>
      <w:r w:rsidR="002817EA">
        <w:rPr>
          <w:rFonts w:ascii="Times New Roman" w:hAnsi="Times New Roman" w:cs="Times New Roman"/>
          <w:sz w:val="24"/>
          <w:szCs w:val="24"/>
        </w:rPr>
        <w:t xml:space="preserve">was </w:t>
      </w:r>
      <w:r>
        <w:rPr>
          <w:rFonts w:ascii="Times New Roman" w:hAnsi="Times New Roman" w:cs="Times New Roman"/>
          <w:sz w:val="24"/>
          <w:szCs w:val="24"/>
        </w:rPr>
        <w:t>trained on data of all control subjects (</w:t>
      </w:r>
      <w:r>
        <w:rPr>
          <w:rFonts w:ascii="Times New Roman" w:hAnsi="Times New Roman" w:cs="Times New Roman"/>
          <w:i/>
          <w:sz w:val="24"/>
          <w:szCs w:val="24"/>
        </w:rPr>
        <w:t>n</w:t>
      </w:r>
      <w:r>
        <w:rPr>
          <w:rFonts w:ascii="Times New Roman" w:hAnsi="Times New Roman" w:cs="Times New Roman"/>
          <w:sz w:val="24"/>
          <w:szCs w:val="24"/>
        </w:rPr>
        <w:t xml:space="preserve"> = 15), while the stroke model</w:t>
      </w:r>
      <w:r w:rsidR="002817EA">
        <w:rPr>
          <w:rFonts w:ascii="Times New Roman" w:hAnsi="Times New Roman" w:cs="Times New Roman"/>
          <w:sz w:val="24"/>
          <w:szCs w:val="24"/>
        </w:rPr>
        <w:t xml:space="preserve"> was</w:t>
      </w:r>
      <w:r>
        <w:rPr>
          <w:rFonts w:ascii="Times New Roman" w:hAnsi="Times New Roman" w:cs="Times New Roman"/>
          <w:sz w:val="24"/>
          <w:szCs w:val="24"/>
        </w:rPr>
        <w:t xml:space="preserve"> trained on data of all stroke subjects not in the held out test group (</w:t>
      </w:r>
      <w:r>
        <w:rPr>
          <w:rFonts w:ascii="Times New Roman" w:hAnsi="Times New Roman" w:cs="Times New Roman"/>
          <w:i/>
          <w:sz w:val="24"/>
          <w:szCs w:val="24"/>
        </w:rPr>
        <w:t>n</w:t>
      </w:r>
      <w:r>
        <w:rPr>
          <w:rFonts w:ascii="Times New Roman" w:hAnsi="Times New Roman" w:cs="Times New Roman"/>
          <w:sz w:val="24"/>
          <w:szCs w:val="24"/>
        </w:rPr>
        <w:t xml:space="preserve"> = 15), thereby balancing the number of subjects trained upon in each model. This process was repeated for all randomly selected test groups, and average performance metri</w:t>
      </w:r>
      <w:r w:rsidR="007F1A05">
        <w:rPr>
          <w:rFonts w:ascii="Times New Roman" w:hAnsi="Times New Roman" w:cs="Times New Roman"/>
          <w:sz w:val="24"/>
          <w:szCs w:val="24"/>
        </w:rPr>
        <w:t xml:space="preserve">cs were reported for each model (stratified by the labeled quantity of unstable ambulators- see corresponding results in </w:t>
      </w:r>
      <w:r w:rsidR="007F1A05" w:rsidRPr="007F1A05">
        <w:rPr>
          <w:rFonts w:ascii="Times New Roman" w:hAnsi="Times New Roman" w:cs="Times New Roman"/>
          <w:b/>
          <w:sz w:val="24"/>
          <w:szCs w:val="24"/>
        </w:rPr>
        <w:t>Figure</w:t>
      </w:r>
      <w:r w:rsidR="007F1A05" w:rsidRPr="00875A06">
        <w:rPr>
          <w:rFonts w:ascii="Times New Roman" w:hAnsi="Times New Roman" w:cs="Times New Roman"/>
          <w:b/>
          <w:sz w:val="24"/>
          <w:szCs w:val="24"/>
        </w:rPr>
        <w:t xml:space="preserve"> 3</w:t>
      </w:r>
      <w:r w:rsidR="007F1A05">
        <w:rPr>
          <w:rFonts w:ascii="Times New Roman" w:hAnsi="Times New Roman" w:cs="Times New Roman"/>
          <w:sz w:val="24"/>
          <w:szCs w:val="24"/>
        </w:rPr>
        <w:t>).</w:t>
      </w:r>
      <w:bookmarkEnd w:id="0"/>
    </w:p>
    <w:sectPr w:rsidR="00F66767" w:rsidRPr="00875A06" w:rsidSect="00116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3099"/>
    <w:multiLevelType w:val="hybridMultilevel"/>
    <w:tmpl w:val="FC7A8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04DC3"/>
    <w:multiLevelType w:val="hybridMultilevel"/>
    <w:tmpl w:val="913054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C74F48"/>
    <w:multiLevelType w:val="multilevel"/>
    <w:tmpl w:val="80D4B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9C4A21"/>
    <w:multiLevelType w:val="hybridMultilevel"/>
    <w:tmpl w:val="F3FA49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5A2D98"/>
    <w:multiLevelType w:val="hybridMultilevel"/>
    <w:tmpl w:val="0D4C727C"/>
    <w:lvl w:ilvl="0" w:tplc="CDB6375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090292"/>
    <w:multiLevelType w:val="hybridMultilevel"/>
    <w:tmpl w:val="4BC6768A"/>
    <w:lvl w:ilvl="0" w:tplc="997CD0DE">
      <w:start w:val="5"/>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E32"/>
    <w:rsid w:val="00071C0C"/>
    <w:rsid w:val="000A2E55"/>
    <w:rsid w:val="000E2228"/>
    <w:rsid w:val="001003B4"/>
    <w:rsid w:val="00114149"/>
    <w:rsid w:val="00116E1D"/>
    <w:rsid w:val="00194BC9"/>
    <w:rsid w:val="001D0528"/>
    <w:rsid w:val="001E7730"/>
    <w:rsid w:val="001F56FD"/>
    <w:rsid w:val="00202B24"/>
    <w:rsid w:val="00230FB6"/>
    <w:rsid w:val="00265E99"/>
    <w:rsid w:val="002817EA"/>
    <w:rsid w:val="002C4E85"/>
    <w:rsid w:val="002D1571"/>
    <w:rsid w:val="003222B3"/>
    <w:rsid w:val="0033782A"/>
    <w:rsid w:val="003469CD"/>
    <w:rsid w:val="00387729"/>
    <w:rsid w:val="003B1418"/>
    <w:rsid w:val="003C3769"/>
    <w:rsid w:val="00400023"/>
    <w:rsid w:val="004476E1"/>
    <w:rsid w:val="004715AD"/>
    <w:rsid w:val="004850CD"/>
    <w:rsid w:val="00506811"/>
    <w:rsid w:val="00507A0F"/>
    <w:rsid w:val="00511DA6"/>
    <w:rsid w:val="005240AE"/>
    <w:rsid w:val="00583E3D"/>
    <w:rsid w:val="005A33EA"/>
    <w:rsid w:val="00602DCE"/>
    <w:rsid w:val="00623866"/>
    <w:rsid w:val="00697B4C"/>
    <w:rsid w:val="006C12AC"/>
    <w:rsid w:val="006C7755"/>
    <w:rsid w:val="006D51F6"/>
    <w:rsid w:val="00710654"/>
    <w:rsid w:val="007115C1"/>
    <w:rsid w:val="0072356E"/>
    <w:rsid w:val="00795B0F"/>
    <w:rsid w:val="007A205E"/>
    <w:rsid w:val="007E1D2F"/>
    <w:rsid w:val="007E3C23"/>
    <w:rsid w:val="007F1A05"/>
    <w:rsid w:val="0081216F"/>
    <w:rsid w:val="00815906"/>
    <w:rsid w:val="00867BE3"/>
    <w:rsid w:val="00875A06"/>
    <w:rsid w:val="008B2774"/>
    <w:rsid w:val="008C6BD2"/>
    <w:rsid w:val="008F0893"/>
    <w:rsid w:val="00927E86"/>
    <w:rsid w:val="00935AFD"/>
    <w:rsid w:val="00962F69"/>
    <w:rsid w:val="00985D16"/>
    <w:rsid w:val="00A4236F"/>
    <w:rsid w:val="00A57B5A"/>
    <w:rsid w:val="00AD564F"/>
    <w:rsid w:val="00B479B7"/>
    <w:rsid w:val="00B63107"/>
    <w:rsid w:val="00B9166B"/>
    <w:rsid w:val="00BA610C"/>
    <w:rsid w:val="00BD12A3"/>
    <w:rsid w:val="00C12CED"/>
    <w:rsid w:val="00C761E2"/>
    <w:rsid w:val="00C87474"/>
    <w:rsid w:val="00C93E45"/>
    <w:rsid w:val="00CA58E2"/>
    <w:rsid w:val="00CF47E1"/>
    <w:rsid w:val="00D74A32"/>
    <w:rsid w:val="00D9610E"/>
    <w:rsid w:val="00D97E32"/>
    <w:rsid w:val="00DB553E"/>
    <w:rsid w:val="00DD285D"/>
    <w:rsid w:val="00E0121B"/>
    <w:rsid w:val="00E323E0"/>
    <w:rsid w:val="00E75668"/>
    <w:rsid w:val="00E8665E"/>
    <w:rsid w:val="00E913FF"/>
    <w:rsid w:val="00EB7A99"/>
    <w:rsid w:val="00F26EC2"/>
    <w:rsid w:val="00F60C1F"/>
    <w:rsid w:val="00F65537"/>
    <w:rsid w:val="00F66767"/>
    <w:rsid w:val="00FC343A"/>
    <w:rsid w:val="00FD0833"/>
    <w:rsid w:val="00FD7040"/>
    <w:rsid w:val="00FE4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CD33"/>
  <w15:chartTrackingRefBased/>
  <w15:docId w15:val="{EFBEDC43-9E1D-41C5-9320-71BAAC03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C3769"/>
    <w:pPr>
      <w:keepNext/>
      <w:keepLines/>
      <w:spacing w:before="240" w:after="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14149"/>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14149"/>
    <w:rPr>
      <w:rFonts w:ascii="Times New Roman" w:eastAsia="Times New Roman" w:hAnsi="Times New Roman" w:cs="Times New Roman"/>
      <w:sz w:val="20"/>
      <w:szCs w:val="20"/>
    </w:rPr>
  </w:style>
  <w:style w:type="character" w:styleId="CommentReference">
    <w:name w:val="annotation reference"/>
    <w:unhideWhenUsed/>
    <w:rsid w:val="00114149"/>
    <w:rPr>
      <w:sz w:val="18"/>
      <w:szCs w:val="18"/>
    </w:rPr>
  </w:style>
  <w:style w:type="paragraph" w:styleId="BalloonText">
    <w:name w:val="Balloon Text"/>
    <w:basedOn w:val="Normal"/>
    <w:link w:val="BalloonTextChar"/>
    <w:uiPriority w:val="99"/>
    <w:semiHidden/>
    <w:unhideWhenUsed/>
    <w:rsid w:val="001141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149"/>
    <w:rPr>
      <w:rFonts w:ascii="Segoe UI" w:hAnsi="Segoe UI" w:cs="Segoe UI"/>
      <w:sz w:val="18"/>
      <w:szCs w:val="18"/>
    </w:rPr>
  </w:style>
  <w:style w:type="character" w:styleId="Hyperlink">
    <w:name w:val="Hyperlink"/>
    <w:unhideWhenUsed/>
    <w:rsid w:val="00114149"/>
    <w:rPr>
      <w:color w:val="0000FF"/>
      <w:u w:val="single"/>
    </w:rPr>
  </w:style>
  <w:style w:type="paragraph" w:customStyle="1" w:styleId="Paragraph">
    <w:name w:val="Paragraph"/>
    <w:basedOn w:val="Normal"/>
    <w:rsid w:val="00114149"/>
    <w:pPr>
      <w:spacing w:before="120" w:after="0" w:line="240" w:lineRule="auto"/>
      <w:ind w:firstLine="720"/>
    </w:pPr>
    <w:rPr>
      <w:rFonts w:ascii="Times New Roman" w:eastAsia="Times New Roman" w:hAnsi="Times New Roman" w:cs="Times New Roman"/>
      <w:sz w:val="24"/>
      <w:szCs w:val="24"/>
    </w:rPr>
  </w:style>
  <w:style w:type="paragraph" w:customStyle="1" w:styleId="Teaser">
    <w:name w:val="Teaser"/>
    <w:basedOn w:val="Normal"/>
    <w:rsid w:val="00114149"/>
    <w:pPr>
      <w:spacing w:before="120"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149"/>
    <w:pPr>
      <w:ind w:left="720"/>
      <w:contextualSpacing/>
    </w:pPr>
  </w:style>
  <w:style w:type="character" w:customStyle="1" w:styleId="Heading1Char">
    <w:name w:val="Heading 1 Char"/>
    <w:basedOn w:val="DefaultParagraphFont"/>
    <w:link w:val="Heading1"/>
    <w:uiPriority w:val="9"/>
    <w:rsid w:val="003C3769"/>
    <w:rPr>
      <w:rFonts w:ascii="Times New Roman" w:eastAsiaTheme="majorEastAsia" w:hAnsi="Times New Roman" w:cstheme="majorBidi"/>
      <w:b/>
      <w:sz w:val="24"/>
      <w:szCs w:val="32"/>
    </w:rPr>
  </w:style>
  <w:style w:type="paragraph" w:styleId="CommentSubject">
    <w:name w:val="annotation subject"/>
    <w:basedOn w:val="CommentText"/>
    <w:next w:val="CommentText"/>
    <w:link w:val="CommentSubjectChar"/>
    <w:uiPriority w:val="99"/>
    <w:semiHidden/>
    <w:unhideWhenUsed/>
    <w:rsid w:val="00962F6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62F69"/>
    <w:rPr>
      <w:rFonts w:ascii="Times New Roman" w:eastAsia="Times New Roman" w:hAnsi="Times New Roman" w:cs="Times New Roman"/>
      <w:b/>
      <w:bCs/>
      <w:sz w:val="20"/>
      <w:szCs w:val="20"/>
    </w:rPr>
  </w:style>
  <w:style w:type="paragraph" w:styleId="NormalWeb">
    <w:name w:val="Normal (Web)"/>
    <w:basedOn w:val="Normal"/>
    <w:uiPriority w:val="99"/>
    <w:unhideWhenUsed/>
    <w:rsid w:val="00962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resp-label">
    <w:name w:val="corresp-label"/>
    <w:basedOn w:val="DefaultParagraphFont"/>
    <w:rsid w:val="008F0893"/>
  </w:style>
  <w:style w:type="character" w:styleId="LineNumber">
    <w:name w:val="line number"/>
    <w:basedOn w:val="DefaultParagraphFont"/>
    <w:uiPriority w:val="99"/>
    <w:semiHidden/>
    <w:unhideWhenUsed/>
    <w:rsid w:val="00EB7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79811">
      <w:bodyDiv w:val="1"/>
      <w:marLeft w:val="0"/>
      <w:marRight w:val="0"/>
      <w:marTop w:val="0"/>
      <w:marBottom w:val="0"/>
      <w:divBdr>
        <w:top w:val="none" w:sz="0" w:space="0" w:color="auto"/>
        <w:left w:val="none" w:sz="0" w:space="0" w:color="auto"/>
        <w:bottom w:val="none" w:sz="0" w:space="0" w:color="auto"/>
        <w:right w:val="none" w:sz="0" w:space="0" w:color="auto"/>
      </w:divBdr>
    </w:div>
    <w:div w:id="259610330">
      <w:bodyDiv w:val="1"/>
      <w:marLeft w:val="0"/>
      <w:marRight w:val="0"/>
      <w:marTop w:val="0"/>
      <w:marBottom w:val="0"/>
      <w:divBdr>
        <w:top w:val="none" w:sz="0" w:space="0" w:color="auto"/>
        <w:left w:val="none" w:sz="0" w:space="0" w:color="auto"/>
        <w:bottom w:val="none" w:sz="0" w:space="0" w:color="auto"/>
        <w:right w:val="none" w:sz="0" w:space="0" w:color="auto"/>
      </w:divBdr>
    </w:div>
    <w:div w:id="427391972">
      <w:bodyDiv w:val="1"/>
      <w:marLeft w:val="0"/>
      <w:marRight w:val="0"/>
      <w:marTop w:val="0"/>
      <w:marBottom w:val="0"/>
      <w:divBdr>
        <w:top w:val="none" w:sz="0" w:space="0" w:color="auto"/>
        <w:left w:val="none" w:sz="0" w:space="0" w:color="auto"/>
        <w:bottom w:val="none" w:sz="0" w:space="0" w:color="auto"/>
        <w:right w:val="none" w:sz="0" w:space="0" w:color="auto"/>
      </w:divBdr>
    </w:div>
    <w:div w:id="515967134">
      <w:bodyDiv w:val="1"/>
      <w:marLeft w:val="0"/>
      <w:marRight w:val="0"/>
      <w:marTop w:val="0"/>
      <w:marBottom w:val="0"/>
      <w:divBdr>
        <w:top w:val="none" w:sz="0" w:space="0" w:color="auto"/>
        <w:left w:val="none" w:sz="0" w:space="0" w:color="auto"/>
        <w:bottom w:val="none" w:sz="0" w:space="0" w:color="auto"/>
        <w:right w:val="none" w:sz="0" w:space="0" w:color="auto"/>
      </w:divBdr>
    </w:div>
    <w:div w:id="581454782">
      <w:bodyDiv w:val="1"/>
      <w:marLeft w:val="0"/>
      <w:marRight w:val="0"/>
      <w:marTop w:val="0"/>
      <w:marBottom w:val="0"/>
      <w:divBdr>
        <w:top w:val="none" w:sz="0" w:space="0" w:color="auto"/>
        <w:left w:val="none" w:sz="0" w:space="0" w:color="auto"/>
        <w:bottom w:val="none" w:sz="0" w:space="0" w:color="auto"/>
        <w:right w:val="none" w:sz="0" w:space="0" w:color="auto"/>
      </w:divBdr>
    </w:div>
    <w:div w:id="743455728">
      <w:bodyDiv w:val="1"/>
      <w:marLeft w:val="0"/>
      <w:marRight w:val="0"/>
      <w:marTop w:val="0"/>
      <w:marBottom w:val="0"/>
      <w:divBdr>
        <w:top w:val="none" w:sz="0" w:space="0" w:color="auto"/>
        <w:left w:val="none" w:sz="0" w:space="0" w:color="auto"/>
        <w:bottom w:val="none" w:sz="0" w:space="0" w:color="auto"/>
        <w:right w:val="none" w:sz="0" w:space="0" w:color="auto"/>
      </w:divBdr>
    </w:div>
    <w:div w:id="823547392">
      <w:bodyDiv w:val="1"/>
      <w:marLeft w:val="0"/>
      <w:marRight w:val="0"/>
      <w:marTop w:val="0"/>
      <w:marBottom w:val="0"/>
      <w:divBdr>
        <w:top w:val="none" w:sz="0" w:space="0" w:color="auto"/>
        <w:left w:val="none" w:sz="0" w:space="0" w:color="auto"/>
        <w:bottom w:val="none" w:sz="0" w:space="0" w:color="auto"/>
        <w:right w:val="none" w:sz="0" w:space="0" w:color="auto"/>
      </w:divBdr>
    </w:div>
    <w:div w:id="947270910">
      <w:bodyDiv w:val="1"/>
      <w:marLeft w:val="0"/>
      <w:marRight w:val="0"/>
      <w:marTop w:val="0"/>
      <w:marBottom w:val="0"/>
      <w:divBdr>
        <w:top w:val="none" w:sz="0" w:space="0" w:color="auto"/>
        <w:left w:val="none" w:sz="0" w:space="0" w:color="auto"/>
        <w:bottom w:val="none" w:sz="0" w:space="0" w:color="auto"/>
        <w:right w:val="none" w:sz="0" w:space="0" w:color="auto"/>
      </w:divBdr>
    </w:div>
    <w:div w:id="1144733981">
      <w:bodyDiv w:val="1"/>
      <w:marLeft w:val="0"/>
      <w:marRight w:val="0"/>
      <w:marTop w:val="0"/>
      <w:marBottom w:val="0"/>
      <w:divBdr>
        <w:top w:val="none" w:sz="0" w:space="0" w:color="auto"/>
        <w:left w:val="none" w:sz="0" w:space="0" w:color="auto"/>
        <w:bottom w:val="none" w:sz="0" w:space="0" w:color="auto"/>
        <w:right w:val="none" w:sz="0" w:space="0" w:color="auto"/>
      </w:divBdr>
    </w:div>
    <w:div w:id="1307854385">
      <w:bodyDiv w:val="1"/>
      <w:marLeft w:val="0"/>
      <w:marRight w:val="0"/>
      <w:marTop w:val="0"/>
      <w:marBottom w:val="0"/>
      <w:divBdr>
        <w:top w:val="none" w:sz="0" w:space="0" w:color="auto"/>
        <w:left w:val="none" w:sz="0" w:space="0" w:color="auto"/>
        <w:bottom w:val="none" w:sz="0" w:space="0" w:color="auto"/>
        <w:right w:val="none" w:sz="0" w:space="0" w:color="auto"/>
      </w:divBdr>
    </w:div>
    <w:div w:id="1418558111">
      <w:bodyDiv w:val="1"/>
      <w:marLeft w:val="0"/>
      <w:marRight w:val="0"/>
      <w:marTop w:val="0"/>
      <w:marBottom w:val="0"/>
      <w:divBdr>
        <w:top w:val="none" w:sz="0" w:space="0" w:color="auto"/>
        <w:left w:val="none" w:sz="0" w:space="0" w:color="auto"/>
        <w:bottom w:val="none" w:sz="0" w:space="0" w:color="auto"/>
        <w:right w:val="none" w:sz="0" w:space="0" w:color="auto"/>
      </w:divBdr>
    </w:div>
    <w:div w:id="1433088067">
      <w:bodyDiv w:val="1"/>
      <w:marLeft w:val="0"/>
      <w:marRight w:val="0"/>
      <w:marTop w:val="0"/>
      <w:marBottom w:val="0"/>
      <w:divBdr>
        <w:top w:val="none" w:sz="0" w:space="0" w:color="auto"/>
        <w:left w:val="none" w:sz="0" w:space="0" w:color="auto"/>
        <w:bottom w:val="none" w:sz="0" w:space="0" w:color="auto"/>
        <w:right w:val="none" w:sz="0" w:space="0" w:color="auto"/>
      </w:divBdr>
    </w:div>
    <w:div w:id="1475180427">
      <w:bodyDiv w:val="1"/>
      <w:marLeft w:val="0"/>
      <w:marRight w:val="0"/>
      <w:marTop w:val="0"/>
      <w:marBottom w:val="0"/>
      <w:divBdr>
        <w:top w:val="none" w:sz="0" w:space="0" w:color="auto"/>
        <w:left w:val="none" w:sz="0" w:space="0" w:color="auto"/>
        <w:bottom w:val="none" w:sz="0" w:space="0" w:color="auto"/>
        <w:right w:val="none" w:sz="0" w:space="0" w:color="auto"/>
      </w:divBdr>
    </w:div>
    <w:div w:id="1719740207">
      <w:bodyDiv w:val="1"/>
      <w:marLeft w:val="0"/>
      <w:marRight w:val="0"/>
      <w:marTop w:val="0"/>
      <w:marBottom w:val="0"/>
      <w:divBdr>
        <w:top w:val="none" w:sz="0" w:space="0" w:color="auto"/>
        <w:left w:val="none" w:sz="0" w:space="0" w:color="auto"/>
        <w:bottom w:val="none" w:sz="0" w:space="0" w:color="auto"/>
        <w:right w:val="none" w:sz="0" w:space="0" w:color="auto"/>
      </w:divBdr>
    </w:div>
    <w:div w:id="1834295550">
      <w:bodyDiv w:val="1"/>
      <w:marLeft w:val="0"/>
      <w:marRight w:val="0"/>
      <w:marTop w:val="0"/>
      <w:marBottom w:val="0"/>
      <w:divBdr>
        <w:top w:val="none" w:sz="0" w:space="0" w:color="auto"/>
        <w:left w:val="none" w:sz="0" w:space="0" w:color="auto"/>
        <w:bottom w:val="none" w:sz="0" w:space="0" w:color="auto"/>
        <w:right w:val="none" w:sz="0" w:space="0" w:color="auto"/>
      </w:divBdr>
    </w:div>
    <w:div w:id="1930968378">
      <w:bodyDiv w:val="1"/>
      <w:marLeft w:val="0"/>
      <w:marRight w:val="0"/>
      <w:marTop w:val="0"/>
      <w:marBottom w:val="0"/>
      <w:divBdr>
        <w:top w:val="none" w:sz="0" w:space="0" w:color="auto"/>
        <w:left w:val="none" w:sz="0" w:space="0" w:color="auto"/>
        <w:bottom w:val="none" w:sz="0" w:space="0" w:color="auto"/>
        <w:right w:val="none" w:sz="0" w:space="0" w:color="auto"/>
      </w:divBdr>
    </w:div>
    <w:div w:id="2057851490">
      <w:bodyDiv w:val="1"/>
      <w:marLeft w:val="0"/>
      <w:marRight w:val="0"/>
      <w:marTop w:val="0"/>
      <w:marBottom w:val="0"/>
      <w:divBdr>
        <w:top w:val="none" w:sz="0" w:space="0" w:color="auto"/>
        <w:left w:val="none" w:sz="0" w:space="0" w:color="auto"/>
        <w:bottom w:val="none" w:sz="0" w:space="0" w:color="auto"/>
        <w:right w:val="none" w:sz="0" w:space="0" w:color="auto"/>
      </w:divBdr>
    </w:div>
    <w:div w:id="209014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jayaraman@northwestern.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70D37-578D-486A-86EE-94DEFB8F0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8990</Words>
  <Characters>51246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SRALAB</Company>
  <LinksUpToDate>false</LinksUpToDate>
  <CharactersWithSpaces>60116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Botonis</dc:creator>
  <cp:keywords/>
  <dc:description/>
  <cp:lastModifiedBy>Jenifer M.</cp:lastModifiedBy>
  <cp:revision>4</cp:revision>
  <dcterms:created xsi:type="dcterms:W3CDTF">2022-06-08T17:23:00Z</dcterms:created>
  <dcterms:modified xsi:type="dcterms:W3CDTF">2022-06-08T17:24:00Z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http://www.zotero.org/styles/karger-journals</vt:lpwstr>
  </property>
  <property fmtid="{D5CDD505-2E9C-101B-9397-08002B2CF9AE}" pid="17" name="Mendeley Recent Style Name 7_1">
    <vt:lpwstr>Karger journals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http://www.zotero.org/styles/science-translational-medicine</vt:lpwstr>
  </property>
  <property fmtid="{D5CDD505-2E9C-101B-9397-08002B2CF9AE}" pid="21" name="Mendeley Recent Style Name 9_1">
    <vt:lpwstr>Science Translational Medicine</vt:lpwstr>
  </property>
  <property fmtid="{D5CDD505-2E9C-101B-9397-08002B2CF9AE}" pid="22" name="Mendeley Document_1">
    <vt:lpwstr>True</vt:lpwstr>
  </property>
  <property fmtid="{D5CDD505-2E9C-101B-9397-08002B2CF9AE}" pid="23" name="Mendeley Unique User Id_1">
    <vt:lpwstr>4a5a683f-c5c8-38f4-9be4-47ff9d4953ff</vt:lpwstr>
  </property>
  <property fmtid="{D5CDD505-2E9C-101B-9397-08002B2CF9AE}" pid="24" name="Mendeley Citation Style_1">
    <vt:lpwstr>http://www.zotero.org/styles/science-translational-medicine</vt:lpwstr>
  </property>
</Properties>
</file>