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9B814" w14:textId="021A164B" w:rsidR="00AE3DBF" w:rsidRPr="00C11F24" w:rsidRDefault="00AE3DBF" w:rsidP="00AE3DBF">
      <w:pPr>
        <w:pStyle w:val="Titolo1"/>
        <w:jc w:val="center"/>
        <w:rPr>
          <w:sz w:val="36"/>
          <w:szCs w:val="36"/>
          <w:lang w:val="en-US"/>
        </w:rPr>
      </w:pPr>
      <w:r w:rsidRPr="00C11F24">
        <w:rPr>
          <w:sz w:val="36"/>
          <w:szCs w:val="36"/>
          <w:lang w:val="en-US"/>
        </w:rPr>
        <w:t>Exploring high-density corticomuscular networks after stroke to enable a hybrid Brain-Computer Interface for hand motor rehabilitation</w:t>
      </w:r>
    </w:p>
    <w:p w14:paraId="001F0872" w14:textId="60A6E470" w:rsidR="00F44E2A" w:rsidRDefault="00F44E2A" w:rsidP="00F44E2A">
      <w:pPr>
        <w:jc w:val="center"/>
        <w:rPr>
          <w:vertAlign w:val="superscript"/>
          <w:lang w:val="it-IT"/>
        </w:rPr>
      </w:pPr>
      <w:bookmarkStart w:id="0" w:name="_5je9ffg4ojhf" w:colFirst="0" w:colLast="0"/>
      <w:bookmarkStart w:id="1" w:name="_jqzkepwiu6x3" w:colFirst="0" w:colLast="0"/>
      <w:bookmarkEnd w:id="0"/>
      <w:bookmarkEnd w:id="1"/>
      <w:r w:rsidRPr="001A1018">
        <w:rPr>
          <w:lang w:val="it-IT"/>
        </w:rPr>
        <w:t>Floriana Pichiorri</w:t>
      </w:r>
      <w:r w:rsidRPr="001A1018">
        <w:rPr>
          <w:vertAlign w:val="superscript"/>
          <w:lang w:val="it-IT"/>
        </w:rPr>
        <w:t>1*</w:t>
      </w:r>
      <w:r w:rsidRPr="001A1018">
        <w:rPr>
          <w:lang w:val="it-IT"/>
        </w:rPr>
        <w:t>, Jlenia Toppi</w:t>
      </w:r>
      <w:r w:rsidRPr="001A1018">
        <w:rPr>
          <w:vertAlign w:val="superscript"/>
          <w:lang w:val="it-IT"/>
        </w:rPr>
        <w:t>1,2*</w:t>
      </w:r>
      <w:r w:rsidRPr="001A1018">
        <w:rPr>
          <w:lang w:val="it-IT"/>
        </w:rPr>
        <w:t>, Valeria de Seta</w:t>
      </w:r>
      <w:r w:rsidRPr="001A1018">
        <w:rPr>
          <w:vertAlign w:val="superscript"/>
          <w:lang w:val="it-IT"/>
        </w:rPr>
        <w:t>1,2</w:t>
      </w:r>
      <w:r w:rsidRPr="001A1018">
        <w:rPr>
          <w:lang w:val="it-IT"/>
        </w:rPr>
        <w:t>, Emma Colamarino</w:t>
      </w:r>
      <w:r w:rsidRPr="001A1018">
        <w:rPr>
          <w:vertAlign w:val="superscript"/>
          <w:lang w:val="it-IT"/>
        </w:rPr>
        <w:t>1,2</w:t>
      </w:r>
      <w:r w:rsidRPr="001A1018">
        <w:rPr>
          <w:lang w:val="it-IT"/>
        </w:rPr>
        <w:t>, Marcella Masciullo</w:t>
      </w:r>
      <w:r w:rsidRPr="001A1018">
        <w:rPr>
          <w:vertAlign w:val="superscript"/>
          <w:lang w:val="it-IT"/>
        </w:rPr>
        <w:t>3</w:t>
      </w:r>
      <w:r w:rsidRPr="001A1018">
        <w:rPr>
          <w:lang w:val="it-IT"/>
        </w:rPr>
        <w:t>, Federica Tamburella</w:t>
      </w:r>
      <w:r w:rsidRPr="001A1018">
        <w:rPr>
          <w:vertAlign w:val="superscript"/>
          <w:lang w:val="it-IT"/>
        </w:rPr>
        <w:t>4</w:t>
      </w:r>
      <w:r w:rsidRPr="001A1018">
        <w:rPr>
          <w:lang w:val="it-IT"/>
        </w:rPr>
        <w:t>, Matteo Lorusso</w:t>
      </w:r>
      <w:r w:rsidRPr="001A1018">
        <w:rPr>
          <w:vertAlign w:val="superscript"/>
          <w:lang w:val="it-IT"/>
        </w:rPr>
        <w:t>4</w:t>
      </w:r>
      <w:r w:rsidRPr="001A1018">
        <w:rPr>
          <w:lang w:val="it-IT"/>
        </w:rPr>
        <w:t>, Febo Cincotti</w:t>
      </w:r>
      <w:r w:rsidRPr="001A1018">
        <w:rPr>
          <w:vertAlign w:val="superscript"/>
          <w:lang w:val="it-IT"/>
        </w:rPr>
        <w:t>1,2</w:t>
      </w:r>
      <w:r w:rsidRPr="001A1018">
        <w:rPr>
          <w:lang w:val="it-IT"/>
        </w:rPr>
        <w:t>, Donatella Mattia</w:t>
      </w:r>
      <w:r w:rsidRPr="001A1018">
        <w:rPr>
          <w:vertAlign w:val="superscript"/>
          <w:lang w:val="it-IT"/>
        </w:rPr>
        <w:t>1</w:t>
      </w:r>
    </w:p>
    <w:p w14:paraId="7D968176" w14:textId="77777777" w:rsidR="00C11F24" w:rsidRPr="001A1018" w:rsidRDefault="00C11F24" w:rsidP="00F44E2A">
      <w:pPr>
        <w:jc w:val="center"/>
        <w:rPr>
          <w:lang w:val="it-IT"/>
        </w:rPr>
      </w:pPr>
    </w:p>
    <w:p w14:paraId="521BB372" w14:textId="31424DE4" w:rsidR="00926B62" w:rsidRDefault="00F44E2A" w:rsidP="00F44E2A">
      <w:pPr>
        <w:rPr>
          <w:i/>
          <w:iCs/>
          <w:sz w:val="20"/>
          <w:szCs w:val="20"/>
        </w:rPr>
      </w:pPr>
      <w:r w:rsidRPr="005441C4">
        <w:rPr>
          <w:i/>
          <w:iCs/>
          <w:sz w:val="20"/>
          <w:szCs w:val="20"/>
          <w:vertAlign w:val="superscript"/>
        </w:rPr>
        <w:t>1</w:t>
      </w:r>
      <w:r w:rsidRPr="005441C4">
        <w:rPr>
          <w:i/>
          <w:iCs/>
          <w:sz w:val="20"/>
          <w:szCs w:val="20"/>
        </w:rPr>
        <w:t>Neuroelectrical Imaging and Brain Computer Interface Lab, IRCCS Fondazione Santa Lucia, Rome, Italy</w:t>
      </w:r>
      <w:r w:rsidR="00C11F24">
        <w:rPr>
          <w:i/>
          <w:iCs/>
          <w:sz w:val="20"/>
          <w:szCs w:val="20"/>
        </w:rPr>
        <w:t xml:space="preserve">, </w:t>
      </w:r>
      <w:r w:rsidRPr="00382BCB">
        <w:rPr>
          <w:i/>
          <w:iCs/>
          <w:sz w:val="20"/>
          <w:szCs w:val="20"/>
          <w:vertAlign w:val="superscript"/>
        </w:rPr>
        <w:t>2</w:t>
      </w:r>
      <w:r w:rsidRPr="00382BCB">
        <w:rPr>
          <w:i/>
          <w:iCs/>
          <w:sz w:val="20"/>
          <w:szCs w:val="20"/>
        </w:rPr>
        <w:t>Dept. Of Computer, Control and Management Engineering, Sapienza University of Rome, Rome, Italy</w:t>
      </w:r>
      <w:r w:rsidR="00C11F24">
        <w:rPr>
          <w:i/>
          <w:iCs/>
          <w:sz w:val="20"/>
          <w:szCs w:val="20"/>
        </w:rPr>
        <w:t xml:space="preserve">, </w:t>
      </w:r>
      <w:r w:rsidRPr="00382BCB">
        <w:rPr>
          <w:i/>
          <w:iCs/>
          <w:sz w:val="20"/>
          <w:szCs w:val="20"/>
          <w:vertAlign w:val="superscript"/>
        </w:rPr>
        <w:t>3</w:t>
      </w:r>
      <w:r w:rsidRPr="00382BCB">
        <w:rPr>
          <w:i/>
          <w:iCs/>
          <w:sz w:val="20"/>
          <w:szCs w:val="20"/>
        </w:rPr>
        <w:t>Neurology and Neurovascular Treatment Unit, Belcolle Hospital, Viterbo, Italy</w:t>
      </w:r>
      <w:r w:rsidR="00C11F24">
        <w:rPr>
          <w:i/>
          <w:iCs/>
          <w:sz w:val="20"/>
          <w:szCs w:val="20"/>
        </w:rPr>
        <w:t xml:space="preserve">, </w:t>
      </w:r>
      <w:r>
        <w:rPr>
          <w:i/>
          <w:iCs/>
          <w:sz w:val="20"/>
          <w:szCs w:val="20"/>
          <w:vertAlign w:val="superscript"/>
        </w:rPr>
        <w:t>4</w:t>
      </w:r>
      <w:r w:rsidRPr="00B51109">
        <w:rPr>
          <w:i/>
          <w:iCs/>
          <w:sz w:val="20"/>
          <w:szCs w:val="20"/>
        </w:rPr>
        <w:t>Laboratory of Robotic Neurorehabilitation (NeuroRobot Lab), Neurorehabilitation 1 Department, IRCCS Fondazione Santa Lucia, Rome, Italy</w:t>
      </w:r>
    </w:p>
    <w:p w14:paraId="51B9AE8C" w14:textId="77777777" w:rsidR="00926B62" w:rsidRPr="00C11F24" w:rsidRDefault="00926B62" w:rsidP="00926B62">
      <w:pPr>
        <w:pStyle w:val="Titolo1"/>
        <w:jc w:val="center"/>
        <w:rPr>
          <w:sz w:val="36"/>
          <w:szCs w:val="36"/>
          <w:lang w:val="en-US"/>
        </w:rPr>
      </w:pPr>
      <w:r w:rsidRPr="00C11F24">
        <w:rPr>
          <w:sz w:val="36"/>
          <w:szCs w:val="36"/>
          <w:lang w:val="en-US"/>
        </w:rPr>
        <w:t>Additional File 1</w:t>
      </w:r>
    </w:p>
    <w:p w14:paraId="5437C9C9" w14:textId="7582ECA2" w:rsidR="00553E0E" w:rsidRPr="00553E0E" w:rsidRDefault="00553E0E" w:rsidP="00553E0E">
      <w:pPr>
        <w:keepNext/>
      </w:pPr>
      <w:r w:rsidRPr="00553E0E">
        <w:rPr>
          <w:noProof/>
        </w:rPr>
        <w:drawing>
          <wp:inline distT="0" distB="0" distL="0" distR="0" wp14:anchorId="6CFAC293" wp14:editId="5783F67E">
            <wp:extent cx="6108700" cy="5797550"/>
            <wp:effectExtent l="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579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F9634" w14:textId="3520D3C5" w:rsidR="00BA4F2E" w:rsidRDefault="00553E0E" w:rsidP="00553E0E">
      <w:pPr>
        <w:pStyle w:val="Didascalia"/>
        <w:jc w:val="both"/>
        <w:rPr>
          <w:rFonts w:eastAsia="Arial"/>
          <w:bCs/>
          <w:i w:val="0"/>
          <w:iCs w:val="0"/>
          <w:color w:val="auto"/>
        </w:rPr>
      </w:pPr>
      <w:r w:rsidRPr="00553E0E">
        <w:rPr>
          <w:i w:val="0"/>
          <w:iCs w:val="0"/>
          <w:color w:val="auto"/>
        </w:rPr>
        <w:t xml:space="preserve">Figure S1. Single-subject corticomuscular coherence patterns in </w:t>
      </w:r>
      <w:r w:rsidRPr="00553E0E">
        <w:rPr>
          <w:rFonts w:eastAsia="Arial"/>
          <w:bCs/>
          <w:i w:val="0"/>
          <w:iCs w:val="0"/>
          <w:color w:val="auto"/>
        </w:rPr>
        <w:t xml:space="preserve">EXP (stroke) group </w:t>
      </w:r>
      <w:r w:rsidRPr="00553E0E">
        <w:rPr>
          <w:i w:val="0"/>
          <w:iCs w:val="0"/>
          <w:color w:val="auto"/>
        </w:rPr>
        <w:t xml:space="preserve">estimated for alpha band (8–12 Hz) during extension (panel a) and grasping (panel b) movement attempted with the affected hand (AH). </w:t>
      </w:r>
      <w:r w:rsidRPr="00553E0E">
        <w:rPr>
          <w:rFonts w:eastAsia="Arial"/>
          <w:bCs/>
          <w:i w:val="0"/>
          <w:iCs w:val="0"/>
          <w:color w:val="auto"/>
        </w:rPr>
        <w:t xml:space="preserve">The 2D body model is seen from the </w:t>
      </w:r>
      <w:r w:rsidRPr="00553E0E">
        <w:rPr>
          <w:rFonts w:eastAsia="Arial"/>
          <w:bCs/>
          <w:i w:val="0"/>
          <w:iCs w:val="0"/>
          <w:color w:val="auto"/>
        </w:rPr>
        <w:lastRenderedPageBreak/>
        <w:t>above: scalp with nose pointing up the top and arms in front of the participant. Only statistically significant CMC values are represented (unpaired t-test between task and rest intervals, α =0.05 FDR correction). The color bar codes for the CMC average value across trials for each stroke participant (N participants = 12) in the task trial.</w:t>
      </w:r>
    </w:p>
    <w:p w14:paraId="47690C40" w14:textId="2407CB5E" w:rsidR="00553E0E" w:rsidRDefault="00553E0E" w:rsidP="00553E0E"/>
    <w:p w14:paraId="5A11A000" w14:textId="71340B72" w:rsidR="00553E0E" w:rsidRDefault="00553E0E" w:rsidP="00553E0E"/>
    <w:p w14:paraId="747B3301" w14:textId="77777777" w:rsidR="00553E0E" w:rsidRDefault="00553E0E" w:rsidP="00553E0E">
      <w:pPr>
        <w:keepNext/>
      </w:pPr>
      <w:r>
        <w:rPr>
          <w:noProof/>
        </w:rPr>
        <w:drawing>
          <wp:inline distT="0" distB="0" distL="0" distR="0" wp14:anchorId="248B2A07" wp14:editId="066CB10D">
            <wp:extent cx="6120130" cy="581406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81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F5042" w14:textId="54A5CFAF" w:rsidR="00553E0E" w:rsidRDefault="00553E0E" w:rsidP="00553E0E">
      <w:pPr>
        <w:pStyle w:val="Didascalia"/>
        <w:jc w:val="both"/>
        <w:rPr>
          <w:rFonts w:eastAsia="Arial"/>
          <w:bCs/>
          <w:i w:val="0"/>
          <w:iCs w:val="0"/>
          <w:color w:val="auto"/>
        </w:rPr>
      </w:pPr>
      <w:r w:rsidRPr="00553E0E">
        <w:rPr>
          <w:i w:val="0"/>
          <w:iCs w:val="0"/>
          <w:color w:val="auto"/>
        </w:rPr>
        <w:t>Figure S</w:t>
      </w:r>
      <w:r>
        <w:rPr>
          <w:i w:val="0"/>
          <w:iCs w:val="0"/>
          <w:color w:val="auto"/>
        </w:rPr>
        <w:t>2</w:t>
      </w:r>
      <w:r w:rsidRPr="00553E0E">
        <w:rPr>
          <w:i w:val="0"/>
          <w:iCs w:val="0"/>
          <w:color w:val="auto"/>
        </w:rPr>
        <w:t xml:space="preserve">. Single-subject corticomuscular coherence patterns in </w:t>
      </w:r>
      <w:r w:rsidRPr="00553E0E">
        <w:rPr>
          <w:rFonts w:eastAsia="Arial"/>
          <w:bCs/>
          <w:i w:val="0"/>
          <w:iCs w:val="0"/>
          <w:color w:val="auto"/>
        </w:rPr>
        <w:t xml:space="preserve">EXP (stroke) group </w:t>
      </w:r>
      <w:r w:rsidRPr="00553E0E">
        <w:rPr>
          <w:i w:val="0"/>
          <w:iCs w:val="0"/>
          <w:color w:val="auto"/>
        </w:rPr>
        <w:t xml:space="preserve">estimated for </w:t>
      </w:r>
      <w:r>
        <w:rPr>
          <w:i w:val="0"/>
          <w:iCs w:val="0"/>
          <w:color w:val="auto"/>
        </w:rPr>
        <w:t>beta</w:t>
      </w:r>
      <w:r w:rsidRPr="00553E0E">
        <w:rPr>
          <w:i w:val="0"/>
          <w:iCs w:val="0"/>
          <w:color w:val="auto"/>
        </w:rPr>
        <w:t xml:space="preserve"> band (</w:t>
      </w:r>
      <w:r>
        <w:rPr>
          <w:i w:val="0"/>
          <w:iCs w:val="0"/>
          <w:color w:val="auto"/>
        </w:rPr>
        <w:t>13</w:t>
      </w:r>
      <w:r w:rsidRPr="00553E0E">
        <w:rPr>
          <w:i w:val="0"/>
          <w:iCs w:val="0"/>
          <w:color w:val="auto"/>
        </w:rPr>
        <w:t>–</w:t>
      </w:r>
      <w:r>
        <w:rPr>
          <w:i w:val="0"/>
          <w:iCs w:val="0"/>
          <w:color w:val="auto"/>
        </w:rPr>
        <w:t>30</w:t>
      </w:r>
      <w:r w:rsidRPr="00553E0E">
        <w:rPr>
          <w:i w:val="0"/>
          <w:iCs w:val="0"/>
          <w:color w:val="auto"/>
        </w:rPr>
        <w:t xml:space="preserve"> Hz) during extension (panel a) and grasping (panel b) movement attempted with the affected hand (AH). </w:t>
      </w:r>
      <w:r w:rsidRPr="00553E0E">
        <w:rPr>
          <w:rFonts w:eastAsia="Arial"/>
          <w:bCs/>
          <w:i w:val="0"/>
          <w:iCs w:val="0"/>
          <w:color w:val="auto"/>
        </w:rPr>
        <w:t>The 2D body model is seen from the above: scalp with nose pointing up the top and arms in front of the participant. Only statistically significant CMC values are represented (unpaired t-test between task and rest intervals, α =0.05 FDR correction). The color bar codes for the CMC average value across trials for each stroke participant (N participants = 12) in the task trial.</w:t>
      </w:r>
    </w:p>
    <w:p w14:paraId="0C110D25" w14:textId="77777777" w:rsidR="00553E0E" w:rsidRDefault="00553E0E" w:rsidP="00553E0E">
      <w:pPr>
        <w:pStyle w:val="Didascalia"/>
        <w:keepNext/>
      </w:pPr>
      <w:r>
        <w:rPr>
          <w:noProof/>
        </w:rPr>
        <w:lastRenderedPageBreak/>
        <w:drawing>
          <wp:inline distT="0" distB="0" distL="0" distR="0" wp14:anchorId="00D27CDF" wp14:editId="0A5B812C">
            <wp:extent cx="6120130" cy="581406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81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05D5B" w14:textId="5E4E3E86" w:rsidR="00553E0E" w:rsidRDefault="00553E0E" w:rsidP="00553E0E">
      <w:pPr>
        <w:pStyle w:val="Didascalia"/>
        <w:jc w:val="both"/>
        <w:rPr>
          <w:rFonts w:eastAsia="Arial"/>
          <w:bCs/>
          <w:i w:val="0"/>
          <w:iCs w:val="0"/>
          <w:color w:val="auto"/>
        </w:rPr>
      </w:pPr>
      <w:r w:rsidRPr="00553E0E">
        <w:rPr>
          <w:i w:val="0"/>
          <w:iCs w:val="0"/>
          <w:color w:val="auto"/>
        </w:rPr>
        <w:t>Figure S</w:t>
      </w:r>
      <w:r>
        <w:rPr>
          <w:i w:val="0"/>
          <w:iCs w:val="0"/>
          <w:color w:val="auto"/>
        </w:rPr>
        <w:t>3</w:t>
      </w:r>
      <w:r w:rsidRPr="00553E0E">
        <w:rPr>
          <w:i w:val="0"/>
          <w:iCs w:val="0"/>
          <w:color w:val="auto"/>
        </w:rPr>
        <w:t xml:space="preserve">. Single-subject corticomuscular coherence patterns in </w:t>
      </w:r>
      <w:r w:rsidRPr="00553E0E">
        <w:rPr>
          <w:rFonts w:eastAsia="Arial"/>
          <w:bCs/>
          <w:i w:val="0"/>
          <w:iCs w:val="0"/>
          <w:color w:val="auto"/>
        </w:rPr>
        <w:t xml:space="preserve">EXP (stroke) group </w:t>
      </w:r>
      <w:r w:rsidRPr="00553E0E">
        <w:rPr>
          <w:i w:val="0"/>
          <w:iCs w:val="0"/>
          <w:color w:val="auto"/>
        </w:rPr>
        <w:t xml:space="preserve">estimated for </w:t>
      </w:r>
      <w:r>
        <w:rPr>
          <w:i w:val="0"/>
          <w:iCs w:val="0"/>
          <w:color w:val="auto"/>
        </w:rPr>
        <w:t>gamma</w:t>
      </w:r>
      <w:r w:rsidRPr="00553E0E">
        <w:rPr>
          <w:i w:val="0"/>
          <w:iCs w:val="0"/>
          <w:color w:val="auto"/>
        </w:rPr>
        <w:t xml:space="preserve"> band (</w:t>
      </w:r>
      <w:r>
        <w:rPr>
          <w:i w:val="0"/>
          <w:iCs w:val="0"/>
          <w:color w:val="auto"/>
        </w:rPr>
        <w:t>31</w:t>
      </w:r>
      <w:r w:rsidRPr="00553E0E">
        <w:rPr>
          <w:i w:val="0"/>
          <w:iCs w:val="0"/>
          <w:color w:val="auto"/>
        </w:rPr>
        <w:t>–</w:t>
      </w:r>
      <w:r>
        <w:rPr>
          <w:i w:val="0"/>
          <w:iCs w:val="0"/>
          <w:color w:val="auto"/>
        </w:rPr>
        <w:t>60</w:t>
      </w:r>
      <w:r w:rsidRPr="00553E0E">
        <w:rPr>
          <w:i w:val="0"/>
          <w:iCs w:val="0"/>
          <w:color w:val="auto"/>
        </w:rPr>
        <w:t xml:space="preserve"> Hz) during extension (panel a) and grasping (panel b) movement attempted with the affected hand (AH). </w:t>
      </w:r>
      <w:r w:rsidRPr="00553E0E">
        <w:rPr>
          <w:rFonts w:eastAsia="Arial"/>
          <w:bCs/>
          <w:i w:val="0"/>
          <w:iCs w:val="0"/>
          <w:color w:val="auto"/>
        </w:rPr>
        <w:t>The 2D body model is seen from the above: scalp with nose pointing up the top and arms in front of the participant. Only statistically significant CMC values are represented (unpaired t-test between task and rest intervals, α =0.05 FDR correction). The color bar codes for the CMC average value across trials for each stroke participant (N participants = 12) in the task trial.</w:t>
      </w:r>
    </w:p>
    <w:p w14:paraId="74A80062" w14:textId="1AD6E151" w:rsidR="00553E0E" w:rsidRPr="00553E0E" w:rsidRDefault="00553E0E" w:rsidP="00553E0E">
      <w:pPr>
        <w:pStyle w:val="Didascalia"/>
      </w:pPr>
    </w:p>
    <w:sectPr w:rsidR="00553E0E" w:rsidRPr="00553E0E" w:rsidSect="00C11F24">
      <w:footerReference w:type="default" r:id="rId9"/>
      <w:footerReference w:type="first" r:id="rId10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8E787" w14:textId="77777777" w:rsidR="00C11F24" w:rsidRDefault="00C11F24" w:rsidP="00C11F24">
      <w:r>
        <w:separator/>
      </w:r>
    </w:p>
  </w:endnote>
  <w:endnote w:type="continuationSeparator" w:id="0">
    <w:p w14:paraId="5E5D69BB" w14:textId="77777777" w:rsidR="00C11F24" w:rsidRDefault="00C11F24" w:rsidP="00C11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3FD13" w14:textId="1C38342B" w:rsidR="00C11F24" w:rsidRDefault="00C11F24">
    <w:pPr>
      <w:pStyle w:val="Pidipagina"/>
    </w:pPr>
  </w:p>
  <w:p w14:paraId="3D01D12B" w14:textId="1E20C9E4" w:rsidR="00C11F24" w:rsidRDefault="00C11F2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17E5D" w14:textId="4308A37F" w:rsidR="00C11F24" w:rsidRDefault="00C11F24">
    <w:pPr>
      <w:pStyle w:val="Pidipagina"/>
    </w:pPr>
    <w:r w:rsidRPr="00F44E2A">
      <w:rPr>
        <w:sz w:val="20"/>
        <w:szCs w:val="20"/>
      </w:rPr>
      <w:t>*authors contributed equally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84E3A" w14:textId="77777777" w:rsidR="00C11F24" w:rsidRDefault="00C11F24" w:rsidP="00C11F24">
      <w:r>
        <w:separator/>
      </w:r>
    </w:p>
  </w:footnote>
  <w:footnote w:type="continuationSeparator" w:id="0">
    <w:p w14:paraId="4F3487C8" w14:textId="77777777" w:rsidR="00C11F24" w:rsidRDefault="00C11F24" w:rsidP="00C11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BF"/>
    <w:rsid w:val="000B322A"/>
    <w:rsid w:val="00112930"/>
    <w:rsid w:val="003A088A"/>
    <w:rsid w:val="00553E0E"/>
    <w:rsid w:val="0062113B"/>
    <w:rsid w:val="00926B62"/>
    <w:rsid w:val="00AE3DBF"/>
    <w:rsid w:val="00BA4F2E"/>
    <w:rsid w:val="00C11F24"/>
    <w:rsid w:val="00F4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15F11"/>
  <w15:chartTrackingRefBased/>
  <w15:docId w15:val="{611F0DD4-DF71-496E-93E1-682E800E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3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E3DBF"/>
    <w:pPr>
      <w:keepNext/>
      <w:keepLines/>
      <w:spacing w:before="400" w:after="120" w:line="276" w:lineRule="auto"/>
      <w:outlineLvl w:val="0"/>
    </w:pPr>
    <w:rPr>
      <w:rFonts w:eastAsia="Arial" w:cs="Arial"/>
      <w:b/>
      <w:sz w:val="40"/>
      <w:szCs w:val="40"/>
      <w:lang w:val="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E3DBF"/>
    <w:rPr>
      <w:rFonts w:ascii="Times New Roman" w:eastAsia="Arial" w:hAnsi="Times New Roman" w:cs="Arial"/>
      <w:b/>
      <w:sz w:val="40"/>
      <w:szCs w:val="40"/>
      <w:lang w:val="it" w:eastAsia="it-IT"/>
    </w:rPr>
  </w:style>
  <w:style w:type="paragraph" w:styleId="Didascalia">
    <w:name w:val="caption"/>
    <w:basedOn w:val="Normale"/>
    <w:next w:val="Normale"/>
    <w:uiPriority w:val="35"/>
    <w:unhideWhenUsed/>
    <w:qFormat/>
    <w:rsid w:val="00553E0E"/>
    <w:pPr>
      <w:spacing w:after="200"/>
    </w:pPr>
    <w:rPr>
      <w:i/>
      <w:iCs/>
      <w:color w:val="44546A" w:themeColor="text2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11F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1F24"/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11F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1F24"/>
    <w:rPr>
      <w:rFonts w:ascii="Times New Roman" w:eastAsia="Times New Roman" w:hAnsi="Times New Roman" w:cs="Times New Roman"/>
      <w:sz w:val="24"/>
      <w:szCs w:val="24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 de Seta</dc:creator>
  <cp:keywords/>
  <dc:description/>
  <cp:lastModifiedBy>Valeria  de Seta</cp:lastModifiedBy>
  <cp:revision>6</cp:revision>
  <dcterms:created xsi:type="dcterms:W3CDTF">2022-11-24T11:20:00Z</dcterms:created>
  <dcterms:modified xsi:type="dcterms:W3CDTF">2022-11-24T12:48:00Z</dcterms:modified>
</cp:coreProperties>
</file>