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36A" w:rsidRPr="008660DA" w:rsidRDefault="00CD0CD7">
      <w:pPr>
        <w:rPr>
          <w:rFonts w:eastAsia="PMingLiU" w:cstheme="minorHAnsi"/>
          <w:b/>
          <w:color w:val="000000" w:themeColor="text1"/>
          <w:kern w:val="0"/>
          <w:sz w:val="32"/>
          <w:szCs w:val="32"/>
        </w:rPr>
      </w:pPr>
      <w:r w:rsidRPr="008660DA">
        <w:rPr>
          <w:rFonts w:eastAsia="PMingLiU" w:cstheme="minorHAnsi"/>
          <w:b/>
          <w:color w:val="000000" w:themeColor="text1"/>
          <w:kern w:val="0"/>
          <w:sz w:val="32"/>
          <w:szCs w:val="32"/>
        </w:rPr>
        <w:t>Supplementar</w:t>
      </w:r>
      <w:bookmarkStart w:id="0" w:name="_GoBack"/>
      <w:bookmarkEnd w:id="0"/>
      <w:r w:rsidRPr="008660DA">
        <w:rPr>
          <w:rFonts w:eastAsia="PMingLiU" w:cstheme="minorHAnsi"/>
          <w:b/>
          <w:color w:val="000000" w:themeColor="text1"/>
          <w:kern w:val="0"/>
          <w:sz w:val="32"/>
          <w:szCs w:val="32"/>
        </w:rPr>
        <w:t>y Table 3</w:t>
      </w:r>
    </w:p>
    <w:tbl>
      <w:tblPr>
        <w:tblpPr w:leftFromText="180" w:rightFromText="180" w:vertAnchor="page" w:horzAnchor="margin" w:tblpY="2628"/>
        <w:tblW w:w="1399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64"/>
        <w:gridCol w:w="982"/>
        <w:gridCol w:w="1162"/>
        <w:gridCol w:w="982"/>
        <w:gridCol w:w="982"/>
        <w:gridCol w:w="982"/>
        <w:gridCol w:w="982"/>
        <w:gridCol w:w="982"/>
        <w:gridCol w:w="982"/>
        <w:gridCol w:w="982"/>
        <w:gridCol w:w="982"/>
        <w:gridCol w:w="982"/>
        <w:gridCol w:w="1099"/>
        <w:gridCol w:w="49"/>
      </w:tblGrid>
      <w:tr w:rsidR="008660DA" w:rsidRPr="008660DA" w:rsidTr="006A2CE2">
        <w:trPr>
          <w:trHeight w:val="48"/>
        </w:trPr>
        <w:tc>
          <w:tcPr>
            <w:tcW w:w="13994" w:type="dxa"/>
            <w:gridSpan w:val="14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spacing w:line="480" w:lineRule="auto"/>
              <w:rPr>
                <w:rFonts w:asciiTheme="majorHAnsi" w:eastAsia="PMingLiU" w:hAnsiTheme="majorHAnsi" w:cs="Times New Roman"/>
                <w:color w:val="000000" w:themeColor="text1"/>
                <w:kern w:val="0"/>
                <w:sz w:val="20"/>
                <w:szCs w:val="20"/>
              </w:rPr>
            </w:pPr>
            <w:bookmarkStart w:id="1" w:name="_Hlk43880862"/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20"/>
                <w:szCs w:val="20"/>
              </w:rPr>
              <w:t>Summary of the methodological quality of the included studies</w:t>
            </w: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a</w:t>
            </w:r>
          </w:p>
        </w:tc>
      </w:tr>
      <w:tr w:rsidR="008660DA" w:rsidRPr="008660DA" w:rsidTr="006A2CE2">
        <w:trPr>
          <w:gridAfter w:val="1"/>
          <w:wAfter w:w="49" w:type="dxa"/>
          <w:trHeight w:val="430"/>
        </w:trPr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  <w:t>Study, first author year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  <w:vertAlign w:val="superscript"/>
              </w:rPr>
            </w:pP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  <w:t>Overall</w:t>
            </w: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  <w:vertAlign w:val="superscript"/>
              </w:rPr>
            </w:pP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  <w:t>Eligibility criteria</w:t>
            </w: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  <w:t>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  <w:t>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  <w:t>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  <w:t>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  <w:t>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  <w:t>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  <w:t>8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  <w:t>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  <w:t>10</w:t>
            </w:r>
          </w:p>
        </w:tc>
      </w:tr>
      <w:tr w:rsidR="008660DA" w:rsidRPr="008660DA" w:rsidTr="006A2CE2">
        <w:trPr>
          <w:gridAfter w:val="1"/>
          <w:wAfter w:w="49" w:type="dxa"/>
          <w:trHeight w:val="211"/>
        </w:trPr>
        <w:tc>
          <w:tcPr>
            <w:tcW w:w="18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Ahn 2019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  <w:vertAlign w:val="superscript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6/10</w:t>
            </w: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Alp 2018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  <w:vertAlign w:val="superscript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7/10</w:t>
            </w: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Times New Roman" w:hAnsiTheme="majorHAnsi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Times New Roman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Annino 2019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5/10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Times New Roman" w:hAnsiTheme="majorHAnsi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Calabro 2017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7/10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Times New Roman" w:hAnsiTheme="majorHAnsi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Caliandro 2012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  <w:vertAlign w:val="superscript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9/10</w:t>
            </w: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Times New Roman" w:hAnsiTheme="majorHAnsi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Times New Roman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Casale 2014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7/10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Times New Roman" w:hAnsiTheme="majorHAnsi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Times New Roman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  <w:vertAlign w:val="superscript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Celletti 2017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8/10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Times New Roman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Cordo 2022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7/10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Da-Silva 2019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  <w:vertAlign w:val="superscript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5/10</w:t>
            </w: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Times New Roman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Feng 2019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6/10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Times New Roman" w:hAnsiTheme="majorHAnsi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Times New Roman" w:hAnsiTheme="majorHAnsi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Hsu 2021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7/10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Times New Roman" w:hAnsiTheme="majorHAnsi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Lee 2016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7/10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Times New Roman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Li 2020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6/10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Times New Roman" w:hAnsiTheme="majorHAnsi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Times New Roman" w:hAnsiTheme="majorHAnsi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Liu 2022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7/10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Times New Roman" w:hAnsiTheme="majorHAnsi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Times New Roman" w:hAnsiTheme="majorHAnsi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109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Lu 2017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6/10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Times New Roman" w:hAnsiTheme="majorHAnsi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Times New Roman" w:hAnsiTheme="majorHAnsi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109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Lu 2021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6/10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Times New Roman" w:hAnsiTheme="majorHAnsi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Times New Roman" w:hAnsiTheme="majorHAnsi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1099" w:type="dxa"/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Meng 2020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6/10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Times New Roman" w:hAnsiTheme="majorHAnsi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Times New Roman" w:hAnsiTheme="majorHAnsi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1099" w:type="dxa"/>
            <w:shd w:val="clear" w:color="auto" w:fill="auto"/>
            <w:vAlign w:val="center"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Oliveira 2018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  <w:vertAlign w:val="superscript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6/10</w:t>
            </w: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lef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1099" w:type="dxa"/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Seo 2019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9/10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lef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1099" w:type="dxa"/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Song 2018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6/10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lef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1099" w:type="dxa"/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Tavernese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8/10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lef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1099" w:type="dxa"/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Toscano 2019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9/10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lef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1099" w:type="dxa"/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Wang 2018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6/10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lef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1099" w:type="dxa"/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Wang 2021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6/10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lef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1099" w:type="dxa"/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Wei 2019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8/10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lef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1099" w:type="dxa"/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Wu 2016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6/10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lef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1099" w:type="dxa"/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Wu 2022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6/10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lef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1099" w:type="dxa"/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Yang 2022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6/10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lef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1099" w:type="dxa"/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Yuan 2018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7/10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lef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1099" w:type="dxa"/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Zhu 2017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  <w:t>6/10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lef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82" w:type="dxa"/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1099" w:type="dxa"/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 w:cs="Times New Roman"/>
                <w:i/>
                <w:iCs/>
                <w:color w:val="000000" w:themeColor="text1"/>
                <w:sz w:val="16"/>
                <w:szCs w:val="16"/>
              </w:rPr>
              <w:t>X</w:t>
            </w:r>
          </w:p>
        </w:tc>
      </w:tr>
      <w:tr w:rsidR="008660DA" w:rsidRPr="008660DA" w:rsidTr="006A2CE2">
        <w:trPr>
          <w:gridAfter w:val="1"/>
          <w:wAfter w:w="49" w:type="dxa"/>
          <w:trHeight w:val="193"/>
        </w:trPr>
        <w:tc>
          <w:tcPr>
            <w:tcW w:w="18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  <w:t>Summary</w:t>
            </w: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  <w:vertAlign w:val="superscript"/>
              </w:rPr>
              <w:t>e</w:t>
            </w:r>
          </w:p>
        </w:tc>
        <w:tc>
          <w:tcPr>
            <w:tcW w:w="9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982" w:type="dxa"/>
            <w:tcBorders>
              <w:left w:val="nil"/>
              <w:bottom w:val="single" w:sz="12" w:space="0" w:color="auto"/>
            </w:tcBorders>
            <w:shd w:val="clear" w:color="auto" w:fill="auto"/>
            <w:noWrap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982" w:type="dxa"/>
            <w:tcBorders>
              <w:bottom w:val="single" w:sz="12" w:space="0" w:color="auto"/>
            </w:tcBorders>
            <w:shd w:val="clear" w:color="auto" w:fill="auto"/>
            <w:noWrap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1099" w:type="dxa"/>
            <w:tcBorders>
              <w:bottom w:val="single" w:sz="12" w:space="0" w:color="auto"/>
            </w:tcBorders>
            <w:shd w:val="clear" w:color="auto" w:fill="auto"/>
            <w:noWrap/>
          </w:tcPr>
          <w:p w:rsidR="00CD0CD7" w:rsidRPr="008660DA" w:rsidRDefault="00CD0CD7" w:rsidP="00CD0CD7">
            <w:pPr>
              <w:widowControl/>
              <w:adjustRightInd w:val="0"/>
              <w:snapToGrid w:val="0"/>
              <w:jc w:val="center"/>
              <w:rPr>
                <w:rFonts w:asciiTheme="majorHAnsi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hAnsiTheme="majorHAnsi"/>
                <w:color w:val="000000" w:themeColor="text1"/>
                <w:sz w:val="16"/>
                <w:szCs w:val="16"/>
              </w:rPr>
              <w:t>30</w:t>
            </w:r>
          </w:p>
        </w:tc>
      </w:tr>
      <w:tr w:rsidR="008660DA" w:rsidRPr="008660DA" w:rsidTr="006A2CE2">
        <w:trPr>
          <w:trHeight w:val="990"/>
        </w:trPr>
        <w:tc>
          <w:tcPr>
            <w:tcW w:w="13994" w:type="dxa"/>
            <w:gridSpan w:val="14"/>
            <w:tcBorders>
              <w:top w:val="single" w:sz="12" w:space="0" w:color="auto"/>
              <w:left w:val="nil"/>
            </w:tcBorders>
            <w:shd w:val="clear" w:color="auto" w:fill="auto"/>
            <w:noWrap/>
            <w:hideMark/>
          </w:tcPr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  <w:vertAlign w:val="superscript"/>
              </w:rPr>
            </w:pP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  <w:vertAlign w:val="superscript"/>
              </w:rPr>
              <w:t>a</w:t>
            </w:r>
            <w:r w:rsidRPr="008660DA">
              <w:rPr>
                <w:rFonts w:asciiTheme="majorHAnsi" w:eastAsia="PMingLiU" w:hAnsiTheme="majorHAnsi" w:cs="Times New Roman"/>
                <w:color w:val="000000" w:themeColor="text1"/>
                <w:sz w:val="16"/>
                <w:szCs w:val="16"/>
              </w:rPr>
              <w:t>PEDro, Physiotherapy Evidence Database</w:t>
            </w: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  <w:t xml:space="preserve">. </w:t>
            </w:r>
            <w:r w:rsidRPr="008660DA">
              <w:rPr>
                <w:rFonts w:asciiTheme="majorHAnsi" w:eastAsia="PMingLiU" w:hAnsiTheme="majorHAnsi" w:cs="Times New Roman"/>
                <w:color w:val="000000" w:themeColor="text1"/>
                <w:sz w:val="16"/>
                <w:szCs w:val="16"/>
              </w:rPr>
              <w:t>The guideline for the PEDro scale is available from the PEDro database (</w:t>
            </w:r>
            <w:hyperlink r:id="rId6" w:history="1">
              <w:r w:rsidRPr="008660DA">
                <w:rPr>
                  <w:rFonts w:asciiTheme="majorHAnsi" w:eastAsia="PMingLiU" w:hAnsiTheme="majorHAnsi" w:cs="Times New Roman"/>
                  <w:color w:val="000000" w:themeColor="text1"/>
                  <w:sz w:val="16"/>
                  <w:szCs w:val="16"/>
                  <w:u w:val="single"/>
                </w:rPr>
                <w:t>https://www.pedro.org.au/english/downloads/pedro-scale/</w:t>
              </w:r>
            </w:hyperlink>
            <w:r w:rsidRPr="008660DA">
              <w:rPr>
                <w:rFonts w:asciiTheme="majorHAnsi" w:eastAsia="PMingLiU" w:hAnsiTheme="majorHAnsi" w:cs="Times New Roman"/>
                <w:color w:val="000000" w:themeColor="text1"/>
                <w:sz w:val="16"/>
                <w:szCs w:val="16"/>
              </w:rPr>
              <w:t>).</w:t>
            </w:r>
          </w:p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  <w:vertAlign w:val="superscript"/>
              </w:rPr>
              <w:t>b</w:t>
            </w:r>
            <w:r w:rsidRPr="008660DA">
              <w:rPr>
                <w:rFonts w:asciiTheme="majorHAnsi" w:eastAsia="PMingLiU" w:hAnsiTheme="majorHAnsi" w:cs="Times New Roman"/>
                <w:bCs/>
                <w:color w:val="000000" w:themeColor="text1"/>
                <w:kern w:val="0"/>
                <w:sz w:val="16"/>
                <w:szCs w:val="16"/>
              </w:rPr>
              <w:t>Points</w:t>
            </w:r>
            <w:r w:rsidRPr="008660DA">
              <w:rPr>
                <w:rFonts w:asciiTheme="majorHAnsi" w:eastAsia="PMingLiU" w:hAnsiTheme="majorHAnsi" w:cs="Times New Roman"/>
                <w:color w:val="000000" w:themeColor="text1"/>
                <w:sz w:val="16"/>
                <w:szCs w:val="16"/>
              </w:rPr>
              <w:t xml:space="preserve"> of methodological quality</w:t>
            </w:r>
            <w:r w:rsidRPr="008660DA">
              <w:rPr>
                <w:rFonts w:asciiTheme="majorHAnsi" w:eastAsia="PMingLiU" w:hAnsiTheme="majorHAnsi" w:cs="Times New Roman"/>
                <w:bCs/>
                <w:color w:val="000000" w:themeColor="text1"/>
                <w:kern w:val="0"/>
                <w:sz w:val="16"/>
                <w:szCs w:val="16"/>
              </w:rPr>
              <w:t xml:space="preserve"> are denoted as “</w:t>
            </w:r>
            <w:r w:rsidRPr="008660DA">
              <w:rPr>
                <w:rFonts w:asciiTheme="majorHAnsi" w:eastAsia="PMingLiU" w:hAnsiTheme="majorHAnsi" w:cs="Times New Roman"/>
                <w:bCs/>
                <w:i/>
                <w:color w:val="000000" w:themeColor="text1"/>
                <w:kern w:val="0"/>
                <w:sz w:val="16"/>
                <w:szCs w:val="16"/>
              </w:rPr>
              <w:t>X</w:t>
            </w:r>
            <w:r w:rsidRPr="008660DA">
              <w:rPr>
                <w:rFonts w:asciiTheme="majorHAnsi" w:eastAsia="PMingLiU" w:hAnsiTheme="majorHAnsi" w:cs="Times New Roman"/>
                <w:bCs/>
                <w:color w:val="000000" w:themeColor="text1"/>
                <w:kern w:val="0"/>
                <w:sz w:val="16"/>
                <w:szCs w:val="16"/>
              </w:rPr>
              <w:t xml:space="preserve">” for </w:t>
            </w: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  <w:t>fulfilled criteria.</w:t>
            </w:r>
          </w:p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</w:pP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  <w:vertAlign w:val="superscript"/>
              </w:rPr>
              <w:t>c</w:t>
            </w: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  <w:t>This item is not used to calculate the total score.</w:t>
            </w:r>
          </w:p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sz w:val="16"/>
                <w:szCs w:val="16"/>
              </w:rPr>
            </w:pP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  <w:vertAlign w:val="superscript"/>
              </w:rPr>
              <w:t>d</w:t>
            </w:r>
            <w:r w:rsidRPr="008660DA">
              <w:rPr>
                <w:rFonts w:asciiTheme="majorHAnsi" w:eastAsia="PMingLiU" w:hAnsiTheme="majorHAnsi" w:cs="Times New Roman"/>
                <w:color w:val="000000" w:themeColor="text1"/>
                <w:sz w:val="16"/>
                <w:szCs w:val="16"/>
              </w:rPr>
              <w:t>The score was determined by a third assessor.</w:t>
            </w:r>
          </w:p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  <w:vertAlign w:val="superscript"/>
              </w:rPr>
            </w:pP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  <w:vertAlign w:val="superscript"/>
              </w:rPr>
              <w:t>e</w:t>
            </w:r>
            <w:r w:rsidRPr="008660DA">
              <w:rPr>
                <w:rFonts w:asciiTheme="majorHAnsi" w:eastAsia="PMingLiU" w:hAnsiTheme="majorHAnsi" w:cs="Times New Roman"/>
                <w:color w:val="000000" w:themeColor="text1"/>
                <w:sz w:val="16"/>
                <w:szCs w:val="16"/>
              </w:rPr>
              <w:t>This was calculated as the number of studies satisfied.</w:t>
            </w:r>
          </w:p>
          <w:p w:rsidR="00CD0CD7" w:rsidRPr="008660DA" w:rsidRDefault="00CD0CD7" w:rsidP="00CD0CD7">
            <w:pPr>
              <w:widowControl/>
              <w:adjustRightInd w:val="0"/>
              <w:snapToGrid w:val="0"/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  <w:vertAlign w:val="superscript"/>
              </w:rPr>
            </w:pP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  <w:t xml:space="preserve">PEDro classification scale: 1 = random allocation, 2 = concealed allocation, 3 = similarity at the baseline, 4 = subject blinding, 5 = therapist blinding, 6 = assessor blinding, 7 = &gt;85% follow-up for at least one key outcome, 8 = intention-to-treat analysis, 9 = between-group statistical comparison for at least one key outcome, 10 = point and variability measures for at least one key outcome. Methodological quality: high, </w:t>
            </w:r>
            <w:r w:rsidRPr="008660DA">
              <w:rPr>
                <w:rFonts w:asciiTheme="majorHAnsi" w:eastAsia="Batang" w:hAnsiTheme="majorHAnsi" w:cs="Times New Roman"/>
                <w:color w:val="000000" w:themeColor="text1"/>
                <w:kern w:val="0"/>
                <w:sz w:val="16"/>
                <w:szCs w:val="16"/>
              </w:rPr>
              <w:t>≥</w:t>
            </w: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  <w:t xml:space="preserve">7 points; medium, 4–6 points; low, </w:t>
            </w: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  <w:sym w:font="Symbol" w:char="F0A3"/>
            </w:r>
            <w:r w:rsidRPr="008660DA">
              <w:rPr>
                <w:rFonts w:asciiTheme="majorHAnsi" w:eastAsia="PMingLiU" w:hAnsiTheme="majorHAnsi" w:cs="Times New Roman"/>
                <w:color w:val="000000" w:themeColor="text1"/>
                <w:kern w:val="0"/>
                <w:sz w:val="16"/>
                <w:szCs w:val="16"/>
              </w:rPr>
              <w:t>3 points.</w:t>
            </w:r>
          </w:p>
        </w:tc>
      </w:tr>
      <w:bookmarkEnd w:id="1"/>
    </w:tbl>
    <w:p w:rsidR="00CD0CD7" w:rsidRPr="008660DA" w:rsidRDefault="00CD0CD7" w:rsidP="00CD0CD7">
      <w:pPr>
        <w:widowControl/>
        <w:adjustRightInd w:val="0"/>
        <w:snapToGrid w:val="0"/>
        <w:spacing w:line="480" w:lineRule="auto"/>
        <w:rPr>
          <w:rFonts w:ascii="Times New Roman" w:eastAsia="PMingLiU" w:hAnsi="Times New Roman" w:cs="Times New Roman"/>
          <w:color w:val="000000" w:themeColor="text1"/>
          <w:kern w:val="0"/>
          <w:sz w:val="20"/>
          <w:szCs w:val="20"/>
        </w:rPr>
      </w:pPr>
    </w:p>
    <w:p w:rsidR="00CD0CD7" w:rsidRPr="008660DA" w:rsidRDefault="00CD0CD7" w:rsidP="00CD0CD7">
      <w:pPr>
        <w:widowControl/>
        <w:adjustRightInd w:val="0"/>
        <w:snapToGrid w:val="0"/>
        <w:spacing w:line="480" w:lineRule="auto"/>
        <w:rPr>
          <w:rFonts w:ascii="Times New Roman" w:eastAsia="PMingLiU" w:hAnsi="Times New Roman" w:cs="Times New Roman"/>
          <w:color w:val="000000" w:themeColor="text1"/>
          <w:kern w:val="0"/>
          <w:sz w:val="20"/>
          <w:szCs w:val="20"/>
        </w:rPr>
      </w:pPr>
    </w:p>
    <w:sectPr w:rsidR="00CD0CD7" w:rsidRPr="008660DA" w:rsidSect="008660DA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60AA" w:rsidRDefault="008460AA" w:rsidP="00CD0CD7">
      <w:r>
        <w:separator/>
      </w:r>
    </w:p>
  </w:endnote>
  <w:endnote w:type="continuationSeparator" w:id="0">
    <w:p w:rsidR="008460AA" w:rsidRDefault="008460AA" w:rsidP="00CD0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60AA" w:rsidRDefault="008460AA" w:rsidP="00CD0CD7">
      <w:r>
        <w:separator/>
      </w:r>
    </w:p>
  </w:footnote>
  <w:footnote w:type="continuationSeparator" w:id="0">
    <w:p w:rsidR="008460AA" w:rsidRDefault="008460AA" w:rsidP="00CD0C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90"/>
  <w:bordersDoNotSurroundHeader/>
  <w:bordersDoNotSurroundFooter/>
  <w:revisionView w:markup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8CE"/>
    <w:rsid w:val="006A2CE2"/>
    <w:rsid w:val="007B736A"/>
    <w:rsid w:val="008460AA"/>
    <w:rsid w:val="008660DA"/>
    <w:rsid w:val="00985820"/>
    <w:rsid w:val="00B70284"/>
    <w:rsid w:val="00CD0CD7"/>
    <w:rsid w:val="00E76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22714D08-3F87-4E48-B0BA-6C706AD7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0C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CD0CD7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D0C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D0CD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edro.org.au/english/downloads/pedro-scale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Chandravadhana Ramesh</cp:lastModifiedBy>
  <cp:revision>6</cp:revision>
  <cp:lastPrinted>2023-07-25T00:31:00Z</cp:lastPrinted>
  <dcterms:created xsi:type="dcterms:W3CDTF">2023-07-25T00:19:00Z</dcterms:created>
  <dcterms:modified xsi:type="dcterms:W3CDTF">2024-12-02T10:25:00Z</dcterms:modified>
</cp:coreProperties>
</file>