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3C1FC" w14:textId="39230FB7" w:rsidR="007F54F5" w:rsidRPr="00BA7356" w:rsidRDefault="00532361" w:rsidP="00E71A98">
      <w:pPr>
        <w:spacing w:before="240" w:after="240"/>
        <w:jc w:val="both"/>
        <w:rPr>
          <w:rFonts w:ascii="Times New Roman" w:eastAsia="Yu Gothic" w:hAnsi="Times New Roman" w:cs="Times New Roman"/>
          <w:b/>
          <w:bCs/>
          <w:color w:val="000000" w:themeColor="text1"/>
        </w:rPr>
      </w:pPr>
      <w:r w:rsidRPr="00BA7356">
        <w:rPr>
          <w:rFonts w:ascii="Times New Roman" w:eastAsia="Yu Gothic" w:hAnsi="Times New Roman" w:cs="Times New Roman"/>
          <w:b/>
          <w:bCs/>
          <w:color w:val="000000" w:themeColor="text1"/>
        </w:rPr>
        <w:t xml:space="preserve">Additional </w:t>
      </w:r>
      <w:r w:rsidR="00410586">
        <w:rPr>
          <w:rFonts w:ascii="Times New Roman" w:eastAsia="Yu Gothic" w:hAnsi="Times New Roman" w:cs="Times New Roman"/>
          <w:b/>
          <w:bCs/>
          <w:color w:val="000000" w:themeColor="text1"/>
        </w:rPr>
        <w:t>F</w:t>
      </w:r>
      <w:r w:rsidRPr="00BA7356">
        <w:rPr>
          <w:rFonts w:ascii="Times New Roman" w:eastAsia="Yu Gothic" w:hAnsi="Times New Roman" w:cs="Times New Roman"/>
          <w:b/>
          <w:bCs/>
          <w:color w:val="000000" w:themeColor="text1"/>
        </w:rPr>
        <w:t xml:space="preserve">ile 1: </w:t>
      </w:r>
    </w:p>
    <w:p w14:paraId="3F23641D" w14:textId="439E76AE" w:rsidR="007F54F5" w:rsidRDefault="007F54F5" w:rsidP="00E71A98">
      <w:pPr>
        <w:spacing w:before="240" w:after="240"/>
        <w:jc w:val="both"/>
        <w:rPr>
          <w:rFonts w:ascii="Times New Roman" w:eastAsia="Yu Gothic" w:hAnsi="Times New Roman" w:cs="Times New Roman"/>
          <w:color w:val="000000" w:themeColor="text1"/>
        </w:rPr>
      </w:pPr>
      <w:r w:rsidRPr="00532361">
        <w:rPr>
          <w:rFonts w:ascii="Times New Roman" w:eastAsia="Yu Gothic" w:hAnsi="Times New Roman" w:cs="Times New Roman"/>
          <w:color w:val="000000" w:themeColor="text1"/>
        </w:rPr>
        <w:t>To compare differences in severity of upper extremity paralysis, we classified FMA total scores of ≤19 into the severe group</w:t>
      </w:r>
      <w:r w:rsidR="0069037C">
        <w:rPr>
          <w:rFonts w:ascii="Times New Roman" w:eastAsia="Yu Gothic" w:hAnsi="Times New Roman" w:cs="Times New Roman"/>
          <w:color w:val="000000" w:themeColor="text1"/>
        </w:rPr>
        <w:t>,</w:t>
      </w:r>
      <w:r w:rsidRPr="00532361">
        <w:rPr>
          <w:rFonts w:ascii="Times New Roman" w:eastAsia="Yu Gothic" w:hAnsi="Times New Roman" w:cs="Times New Roman"/>
          <w:color w:val="000000" w:themeColor="text1"/>
        </w:rPr>
        <w:t xml:space="preserve"> 20–4</w:t>
      </w:r>
      <w:r w:rsidR="0069037C">
        <w:rPr>
          <w:rFonts w:ascii="Times New Roman" w:eastAsia="Yu Gothic" w:hAnsi="Times New Roman" w:cs="Times New Roman"/>
          <w:color w:val="000000" w:themeColor="text1"/>
        </w:rPr>
        <w:t>7</w:t>
      </w:r>
      <w:r w:rsidRPr="00532361">
        <w:rPr>
          <w:rFonts w:ascii="Times New Roman" w:eastAsia="Yu Gothic" w:hAnsi="Times New Roman" w:cs="Times New Roman"/>
          <w:color w:val="000000" w:themeColor="text1"/>
        </w:rPr>
        <w:t xml:space="preserve"> into the moderate group,</w:t>
      </w:r>
      <w:r w:rsidR="0069037C">
        <w:rPr>
          <w:rFonts w:ascii="Times New Roman" w:eastAsia="Yu Gothic" w:hAnsi="Times New Roman" w:cs="Times New Roman"/>
          <w:color w:val="000000" w:themeColor="text1"/>
        </w:rPr>
        <w:t xml:space="preserve"> and ≥ 48 </w:t>
      </w:r>
      <w:r w:rsidR="0069037C" w:rsidRPr="00532361">
        <w:rPr>
          <w:rFonts w:ascii="Times New Roman" w:eastAsia="Yu Gothic" w:hAnsi="Times New Roman" w:cs="Times New Roman"/>
          <w:color w:val="000000" w:themeColor="text1"/>
        </w:rPr>
        <w:t>into the m</w:t>
      </w:r>
      <w:r w:rsidR="0069037C">
        <w:rPr>
          <w:rFonts w:ascii="Times New Roman" w:eastAsia="Yu Gothic" w:hAnsi="Times New Roman" w:cs="Times New Roman"/>
          <w:color w:val="000000" w:themeColor="text1"/>
        </w:rPr>
        <w:t>ild</w:t>
      </w:r>
      <w:r w:rsidR="0069037C" w:rsidRPr="00532361">
        <w:rPr>
          <w:rFonts w:ascii="Times New Roman" w:eastAsia="Yu Gothic" w:hAnsi="Times New Roman" w:cs="Times New Roman"/>
          <w:color w:val="000000" w:themeColor="text1"/>
        </w:rPr>
        <w:t xml:space="preserve"> group </w:t>
      </w:r>
      <w:r w:rsidRPr="00532361">
        <w:rPr>
          <w:rFonts w:ascii="Times New Roman" w:eastAsia="Yu Gothic" w:hAnsi="Times New Roman" w:cs="Times New Roman"/>
          <w:color w:val="000000" w:themeColor="text1"/>
        </w:rPr>
        <w:t>using the criteria of Woodbury ML et al</w:t>
      </w:r>
      <w:r w:rsidR="00410586">
        <w:rPr>
          <w:rFonts w:ascii="Times New Roman" w:eastAsia="Yu Gothic" w:hAnsi="Times New Roman" w:cs="Times New Roman"/>
          <w:color w:val="000000" w:themeColor="text1"/>
        </w:rPr>
        <w:t>.</w:t>
      </w:r>
      <w:r w:rsidRPr="00532361">
        <w:rPr>
          <w:rFonts w:ascii="Times New Roman" w:eastAsia="Yu Gothic" w:hAnsi="Times New Roman" w:cs="Times New Roman"/>
          <w:color w:val="000000" w:themeColor="text1"/>
        </w:rPr>
        <w:t xml:space="preserve"> [</w:t>
      </w:r>
      <w:r w:rsidR="00BA7356">
        <w:rPr>
          <w:rFonts w:ascii="Times New Roman" w:eastAsia="Yu Gothic" w:hAnsi="Times New Roman" w:cs="Times New Roman"/>
          <w:color w:val="000000" w:themeColor="text1"/>
        </w:rPr>
        <w:t>1</w:t>
      </w:r>
      <w:r w:rsidRPr="00532361">
        <w:rPr>
          <w:rFonts w:ascii="Times New Roman" w:eastAsia="Yu Gothic" w:hAnsi="Times New Roman" w:cs="Times New Roman"/>
          <w:color w:val="000000" w:themeColor="text1"/>
        </w:rPr>
        <w:t>].</w:t>
      </w:r>
      <w:r w:rsidR="0069037C">
        <w:rPr>
          <w:rFonts w:ascii="Times New Roman" w:eastAsia="Yu Gothic" w:hAnsi="Times New Roman" w:cs="Times New Roman"/>
          <w:color w:val="000000" w:themeColor="text1"/>
        </w:rPr>
        <w:t xml:space="preserve"> One-way ANOVA</w:t>
      </w:r>
      <w:r w:rsidR="00A37004" w:rsidRPr="00A37004">
        <w:rPr>
          <w:rFonts w:ascii="Times New Roman" w:eastAsia="Yu Gothic" w:hAnsi="Times New Roman" w:cs="Times New Roman"/>
          <w:color w:val="000000" w:themeColor="text1"/>
        </w:rPr>
        <w:t xml:space="preserve"> was applied to examine </w:t>
      </w:r>
      <w:r w:rsidR="0069037C">
        <w:rPr>
          <w:rFonts w:ascii="Times New Roman" w:eastAsia="Yu Gothic" w:hAnsi="Times New Roman" w:cs="Times New Roman"/>
          <w:color w:val="000000" w:themeColor="text1"/>
        </w:rPr>
        <w:t>group differences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410586">
        <w:rPr>
          <w:rFonts w:ascii="Times New Roman" w:eastAsia="Yu Gothic" w:hAnsi="Times New Roman" w:cs="Times New Roman"/>
          <w:color w:val="000000" w:themeColor="text1"/>
        </w:rPr>
        <w:t>in</w:t>
      </w:r>
      <w:r w:rsidR="0069037C" w:rsidRPr="0069037C">
        <w:rPr>
          <w:rFonts w:ascii="Times New Roman" w:eastAsia="Yu Gothic" w:hAnsi="Times New Roman" w:cs="Times New Roman"/>
          <w:color w:val="000000" w:themeColor="text1"/>
        </w:rPr>
        <w:t xml:space="preserve"> the abnormal </w:t>
      </w:r>
      <w:r w:rsidR="0069037C">
        <w:rPr>
          <w:rFonts w:ascii="Times New Roman" w:eastAsia="Yu Gothic" w:hAnsi="Times New Roman" w:cs="Times New Roman"/>
          <w:color w:val="000000" w:themeColor="text1"/>
        </w:rPr>
        <w:t xml:space="preserve">flexor </w:t>
      </w:r>
      <w:r w:rsidR="0069037C" w:rsidRPr="0069037C">
        <w:rPr>
          <w:rFonts w:ascii="Times New Roman" w:eastAsia="Yu Gothic" w:hAnsi="Times New Roman" w:cs="Times New Roman"/>
          <w:color w:val="000000" w:themeColor="text1"/>
        </w:rPr>
        <w:t>synerg</w:t>
      </w:r>
      <w:r w:rsidR="0069037C">
        <w:rPr>
          <w:rFonts w:ascii="Times New Roman" w:eastAsia="Yu Gothic" w:hAnsi="Times New Roman" w:cs="Times New Roman"/>
          <w:color w:val="000000" w:themeColor="text1"/>
        </w:rPr>
        <w:t>y</w:t>
      </w:r>
      <w:r w:rsidR="00671A97">
        <w:rPr>
          <w:rFonts w:ascii="Times New Roman" w:eastAsia="Yu Gothic" w:hAnsi="Times New Roman" w:cs="Times New Roman"/>
          <w:color w:val="000000" w:themeColor="text1"/>
        </w:rPr>
        <w:t xml:space="preserve"> index</w:t>
      </w:r>
      <w:r w:rsidR="0069037C">
        <w:rPr>
          <w:rFonts w:ascii="Times New Roman" w:eastAsia="Yu Gothic" w:hAnsi="Times New Roman" w:cs="Times New Roman"/>
          <w:color w:val="000000" w:themeColor="text1"/>
        </w:rPr>
        <w:t xml:space="preserve"> and </w:t>
      </w:r>
      <w:r w:rsidR="000C7806">
        <w:rPr>
          <w:rFonts w:ascii="Times New Roman" w:eastAsia="Yu Gothic" w:hAnsi="Times New Roman" w:cs="Times New Roman"/>
          <w:color w:val="000000"/>
        </w:rPr>
        <w:t>upper extremity assessments</w:t>
      </w:r>
      <w:r w:rsidR="000C7806" w:rsidRPr="0069037C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69037C" w:rsidRPr="0069037C">
        <w:rPr>
          <w:rFonts w:ascii="Times New Roman" w:eastAsia="Yu Gothic" w:hAnsi="Times New Roman" w:cs="Times New Roman"/>
          <w:color w:val="000000" w:themeColor="text1"/>
        </w:rPr>
        <w:t>in each group.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410586">
        <w:rPr>
          <w:rFonts w:ascii="Times New Roman" w:eastAsia="Yu Gothic" w:hAnsi="Times New Roman" w:cs="Times New Roman"/>
          <w:color w:val="000000" w:themeColor="text1"/>
        </w:rPr>
        <w:t>The p</w:t>
      </w:r>
      <w:r w:rsidR="000C7806">
        <w:rPr>
          <w:rFonts w:ascii="Times New Roman" w:eastAsia="Yu Gothic" w:hAnsi="Times New Roman" w:cs="Times New Roman"/>
          <w:color w:val="000000" w:themeColor="text1"/>
        </w:rPr>
        <w:t>ost hoc test used the t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>u</w:t>
      </w:r>
      <w:r w:rsidR="000C7806">
        <w:rPr>
          <w:rFonts w:ascii="Times New Roman" w:eastAsia="Yu Gothic" w:hAnsi="Times New Roman" w:cs="Times New Roman"/>
          <w:color w:val="000000" w:themeColor="text1"/>
        </w:rPr>
        <w:t>r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key tests </w:t>
      </w:r>
      <w:r w:rsidR="00410586">
        <w:rPr>
          <w:rFonts w:ascii="Times New Roman" w:eastAsia="Yu Gothic" w:hAnsi="Times New Roman" w:cs="Times New Roman"/>
          <w:color w:val="000000" w:themeColor="text1"/>
        </w:rPr>
        <w:t>to compare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groups in pairs.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DF3405" w:rsidRPr="00DF3405">
        <w:rPr>
          <w:rFonts w:ascii="Times New Roman" w:eastAsia="Yu Gothic" w:hAnsi="Times New Roman" w:cs="Times New Roman"/>
          <w:color w:val="000000" w:themeColor="text1"/>
        </w:rPr>
        <w:t xml:space="preserve">All statistical analyses were performed using IBM SPSS Statistics (version 28.0; IBM, Tokyo, Japan). Statistical significance was set at </w:t>
      </w:r>
      <w:r w:rsidR="00DF3405" w:rsidRPr="00DF3405">
        <w:rPr>
          <w:rFonts w:ascii="Times New Roman" w:eastAsia="Yu Gothic" w:hAnsi="Times New Roman" w:cs="Times New Roman"/>
          <w:i/>
          <w:iCs/>
          <w:color w:val="000000" w:themeColor="text1"/>
        </w:rPr>
        <w:t>P</w:t>
      </w:r>
      <w:r w:rsidR="00DF3405" w:rsidRPr="00DF3405">
        <w:rPr>
          <w:rFonts w:ascii="Times New Roman" w:eastAsia="Yu Gothic" w:hAnsi="Times New Roman" w:cs="Times New Roman"/>
          <w:color w:val="000000" w:themeColor="text1"/>
        </w:rPr>
        <w:t xml:space="preserve"> ≤ 0.05.</w:t>
      </w:r>
    </w:p>
    <w:p w14:paraId="03C86A17" w14:textId="6CBF70B5" w:rsidR="000C7806" w:rsidRDefault="00DF3405" w:rsidP="00BA7356">
      <w:pPr>
        <w:spacing w:before="240" w:after="240"/>
        <w:jc w:val="both"/>
        <w:rPr>
          <w:rFonts w:ascii="Times New Roman" w:eastAsia="Yu Gothic" w:hAnsi="Times New Roman" w:cs="Times New Roman"/>
          <w:color w:val="000000" w:themeColor="text1"/>
        </w:rPr>
      </w:pPr>
      <w:r w:rsidRPr="00DF3405">
        <w:rPr>
          <w:rFonts w:ascii="Times New Roman" w:eastAsia="Yu Gothic" w:hAnsi="Times New Roman" w:cs="Times New Roman"/>
          <w:color w:val="000000" w:themeColor="text1"/>
        </w:rPr>
        <w:t xml:space="preserve">Of the </w:t>
      </w:r>
      <w:r w:rsidR="000C7806">
        <w:rPr>
          <w:rFonts w:ascii="Times New Roman" w:eastAsia="Yu Gothic" w:hAnsi="Times New Roman" w:cs="Times New Roman"/>
          <w:color w:val="000000" w:themeColor="text1"/>
        </w:rPr>
        <w:t>103</w:t>
      </w:r>
      <w:r w:rsidRPr="00DF3405">
        <w:rPr>
          <w:rFonts w:ascii="Times New Roman" w:eastAsia="Yu Gothic" w:hAnsi="Times New Roman" w:cs="Times New Roman"/>
          <w:color w:val="000000" w:themeColor="text1"/>
        </w:rPr>
        <w:t xml:space="preserve"> participants in the analysis, </w:t>
      </w:r>
      <w:r w:rsidR="000C7806">
        <w:rPr>
          <w:rFonts w:ascii="Times New Roman" w:eastAsia="Yu Gothic" w:hAnsi="Times New Roman" w:cs="Times New Roman"/>
          <w:color w:val="000000" w:themeColor="text1"/>
        </w:rPr>
        <w:t>32</w:t>
      </w:r>
      <w:r w:rsidRPr="00DF3405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410586">
        <w:rPr>
          <w:rFonts w:ascii="Times New Roman" w:eastAsia="Yu Gothic" w:hAnsi="Times New Roman" w:cs="Times New Roman"/>
          <w:color w:val="000000" w:themeColor="text1"/>
        </w:rPr>
        <w:t>were in the severe upper-extremity paralysis group, 61 were in the moderate upper-extremity paralysis group, and ten were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in the mild upper-extremity paralysis </w:t>
      </w:r>
      <w:r w:rsidR="000C7806" w:rsidRPr="00DF3405">
        <w:rPr>
          <w:rFonts w:ascii="Times New Roman" w:eastAsia="Yu Gothic" w:hAnsi="Times New Roman" w:cs="Times New Roman"/>
          <w:color w:val="000000" w:themeColor="text1"/>
        </w:rPr>
        <w:t>group</w:t>
      </w:r>
      <w:r>
        <w:rPr>
          <w:rFonts w:ascii="Times New Roman" w:eastAsia="Yu Gothic" w:hAnsi="Times New Roman" w:cs="Times New Roman"/>
          <w:color w:val="000000" w:themeColor="text1"/>
        </w:rPr>
        <w:t xml:space="preserve">. 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>The abnormal flex</w:t>
      </w:r>
      <w:r w:rsidR="000C7806">
        <w:rPr>
          <w:rFonts w:ascii="Times New Roman" w:eastAsia="Yu Gothic" w:hAnsi="Times New Roman" w:cs="Times New Roman"/>
          <w:color w:val="000000" w:themeColor="text1"/>
        </w:rPr>
        <w:t>or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synerg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y </w:t>
      </w:r>
      <w:r w:rsidR="00671A97">
        <w:rPr>
          <w:rFonts w:ascii="Times New Roman" w:eastAsia="Yu Gothic" w:hAnsi="Times New Roman" w:cs="Times New Roman"/>
          <w:color w:val="000000" w:themeColor="text1"/>
        </w:rPr>
        <w:t>index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was </w:t>
      </w:r>
      <w:r w:rsidR="000C7806">
        <w:rPr>
          <w:rFonts w:ascii="Times New Roman" w:eastAsia="Yu Gothic" w:hAnsi="Times New Roman" w:cs="Times New Roman"/>
          <w:color w:val="000000"/>
        </w:rPr>
        <w:t>80.0 (8.1) %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>
        <w:rPr>
          <w:rFonts w:ascii="Times New Roman" w:eastAsia="Yu Gothic" w:hAnsi="Times New Roman" w:cs="Times New Roman"/>
          <w:color w:val="000000" w:themeColor="text1"/>
        </w:rPr>
        <w:t>in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the severe group, </w:t>
      </w:r>
      <w:r w:rsidR="000C7806">
        <w:rPr>
          <w:rFonts w:ascii="Times New Roman" w:eastAsia="Yu Gothic" w:hAnsi="Times New Roman" w:cs="Times New Roman"/>
          <w:color w:val="000000"/>
        </w:rPr>
        <w:t>86.7 (7.8)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>
        <w:rPr>
          <w:rFonts w:ascii="Times New Roman" w:eastAsia="Yu Gothic" w:hAnsi="Times New Roman" w:cs="Times New Roman"/>
          <w:color w:val="000000" w:themeColor="text1"/>
        </w:rPr>
        <w:t>in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the moderate group</w:t>
      </w:r>
      <w:r w:rsidR="000C7806">
        <w:rPr>
          <w:rFonts w:ascii="Times New Roman" w:eastAsia="Yu Gothic" w:hAnsi="Times New Roman" w:cs="Times New Roman"/>
          <w:color w:val="000000" w:themeColor="text1"/>
        </w:rPr>
        <w:t>,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and </w:t>
      </w:r>
      <w:r w:rsidR="000C7806">
        <w:rPr>
          <w:rFonts w:ascii="Times New Roman" w:eastAsia="Yu Gothic" w:hAnsi="Times New Roman" w:cs="Times New Roman"/>
          <w:color w:val="000000"/>
        </w:rPr>
        <w:t>93.1 (3.1)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%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in 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>the mild group.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The results of one-way </w:t>
      </w:r>
      <w:r w:rsidR="000C7806">
        <w:rPr>
          <w:rFonts w:ascii="Times New Roman" w:eastAsia="Yu Gothic" w:hAnsi="Times New Roman" w:cs="Times New Roman"/>
          <w:color w:val="000000" w:themeColor="text1"/>
        </w:rPr>
        <w:t>ANOVA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 xml:space="preserve"> showed group differences in all variables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0C7806" w:rsidRPr="00DB5634">
        <w:rPr>
          <w:rFonts w:ascii="Times New Roman" w:eastAsia="Yu Gothic" w:hAnsi="Times New Roman" w:cs="Times New Roman"/>
          <w:color w:val="000000" w:themeColor="text1"/>
        </w:rPr>
        <w:t>(</w:t>
      </w:r>
      <w:r w:rsidR="000C7806" w:rsidRPr="00DB5634">
        <w:rPr>
          <w:rFonts w:ascii="Times New Roman" w:eastAsia="Yu Gothic" w:hAnsi="Times New Roman" w:cs="Times New Roman"/>
          <w:i/>
          <w:iCs/>
          <w:color w:val="000000" w:themeColor="text1"/>
        </w:rPr>
        <w:t>P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&lt; </w:t>
      </w:r>
      <w:r w:rsidR="000C7806" w:rsidRPr="00DB5634">
        <w:rPr>
          <w:rFonts w:ascii="Times New Roman" w:eastAsia="Yu Gothic" w:hAnsi="Times New Roman" w:cs="Times New Roman"/>
          <w:color w:val="000000" w:themeColor="text1"/>
        </w:rPr>
        <w:t>0.05)</w:t>
      </w:r>
      <w:r w:rsidR="000C7806" w:rsidRPr="000C7806">
        <w:rPr>
          <w:rFonts w:ascii="Times New Roman" w:eastAsia="Yu Gothic" w:hAnsi="Times New Roman" w:cs="Times New Roman"/>
          <w:color w:val="000000" w:themeColor="text1"/>
        </w:rPr>
        <w:t>.</w:t>
      </w:r>
      <w:r w:rsidR="000C7806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="00434E1C" w:rsidRPr="00434E1C">
        <w:rPr>
          <w:rFonts w:ascii="Times New Roman" w:eastAsia="Yu Gothic" w:hAnsi="Times New Roman" w:cs="Times New Roman"/>
          <w:color w:val="000000" w:themeColor="text1"/>
        </w:rPr>
        <w:t>Post hoc test results showed significant differences between all groups for FM</w:t>
      </w:r>
      <w:r w:rsidR="00E03F87">
        <w:rPr>
          <w:rFonts w:ascii="Times New Roman" w:eastAsia="Yu Gothic" w:hAnsi="Times New Roman" w:cs="Times New Roman"/>
          <w:color w:val="000000" w:themeColor="text1"/>
        </w:rPr>
        <w:t>A–</w:t>
      </w:r>
      <w:r w:rsidR="00434E1C">
        <w:rPr>
          <w:rFonts w:ascii="Times New Roman" w:eastAsia="Yu Gothic" w:hAnsi="Times New Roman" w:cs="Times New Roman"/>
          <w:color w:val="000000" w:themeColor="text1"/>
        </w:rPr>
        <w:t>UE</w:t>
      </w:r>
      <w:r w:rsidR="00434E1C" w:rsidRPr="00434E1C">
        <w:rPr>
          <w:rFonts w:ascii="Times New Roman" w:eastAsia="Yu Gothic" w:hAnsi="Times New Roman" w:cs="Times New Roman"/>
          <w:color w:val="000000" w:themeColor="text1"/>
        </w:rPr>
        <w:t xml:space="preserve"> and </w:t>
      </w:r>
      <w:r w:rsidR="00434E1C">
        <w:rPr>
          <w:rFonts w:ascii="Times New Roman" w:eastAsia="Yu Gothic" w:hAnsi="Times New Roman" w:cs="Times New Roman"/>
          <w:color w:val="000000" w:themeColor="text1"/>
        </w:rPr>
        <w:t>t</w:t>
      </w:r>
      <w:r w:rsidR="00434E1C" w:rsidRPr="000C7806">
        <w:rPr>
          <w:rFonts w:ascii="Times New Roman" w:eastAsia="Yu Gothic" w:hAnsi="Times New Roman" w:cs="Times New Roman"/>
          <w:color w:val="000000" w:themeColor="text1"/>
        </w:rPr>
        <w:t>he abnormal flex</w:t>
      </w:r>
      <w:r w:rsidR="00434E1C">
        <w:rPr>
          <w:rFonts w:ascii="Times New Roman" w:eastAsia="Yu Gothic" w:hAnsi="Times New Roman" w:cs="Times New Roman"/>
          <w:color w:val="000000" w:themeColor="text1"/>
        </w:rPr>
        <w:t>or</w:t>
      </w:r>
      <w:r w:rsidR="00434E1C" w:rsidRPr="000C7806">
        <w:rPr>
          <w:rFonts w:ascii="Times New Roman" w:eastAsia="Yu Gothic" w:hAnsi="Times New Roman" w:cs="Times New Roman"/>
          <w:color w:val="000000" w:themeColor="text1"/>
        </w:rPr>
        <w:t xml:space="preserve"> synerg</w:t>
      </w:r>
      <w:r w:rsidR="00434E1C">
        <w:rPr>
          <w:rFonts w:ascii="Times New Roman" w:eastAsia="Yu Gothic" w:hAnsi="Times New Roman" w:cs="Times New Roman"/>
          <w:color w:val="000000" w:themeColor="text1"/>
        </w:rPr>
        <w:t xml:space="preserve">y </w:t>
      </w:r>
      <w:r w:rsidR="00671A97">
        <w:rPr>
          <w:rFonts w:ascii="Times New Roman" w:eastAsia="Yu Gothic" w:hAnsi="Times New Roman" w:cs="Times New Roman"/>
          <w:color w:val="000000" w:themeColor="text1"/>
        </w:rPr>
        <w:t>index</w:t>
      </w:r>
      <w:r w:rsidR="00434E1C">
        <w:rPr>
          <w:rFonts w:ascii="Times New Roman" w:eastAsia="Yu Gothic" w:hAnsi="Times New Roman" w:cs="Times New Roman"/>
          <w:color w:val="000000" w:themeColor="text1"/>
        </w:rPr>
        <w:t>.</w:t>
      </w:r>
    </w:p>
    <w:p w14:paraId="03561B1E" w14:textId="24905862" w:rsidR="00BA7356" w:rsidRDefault="00BA7356" w:rsidP="00BA7356">
      <w:pPr>
        <w:spacing w:before="240" w:after="240"/>
        <w:jc w:val="both"/>
      </w:pPr>
    </w:p>
    <w:p w14:paraId="36F7F8BE" w14:textId="11DA6B61" w:rsidR="00BA7356" w:rsidRPr="00BA7356" w:rsidRDefault="00BA7356" w:rsidP="00BA7356">
      <w:pPr>
        <w:spacing w:before="240" w:after="240"/>
        <w:jc w:val="both"/>
        <w:rPr>
          <w:rFonts w:ascii="Times New Roman" w:eastAsia="Yu Gothic" w:hAnsi="Times New Roman" w:cs="Times New Roman"/>
          <w:color w:val="000000" w:themeColor="text1"/>
        </w:rPr>
      </w:pPr>
      <w:r w:rsidRPr="00BA7356">
        <w:rPr>
          <w:rFonts w:ascii="Times New Roman" w:eastAsia="Yu Gothic" w:hAnsi="Times New Roman" w:cs="Times New Roman"/>
          <w:color w:val="000000" w:themeColor="text1"/>
        </w:rPr>
        <w:t>Reference</w:t>
      </w:r>
    </w:p>
    <w:p w14:paraId="09FE60B1" w14:textId="195B0E31" w:rsidR="007F54F5" w:rsidRDefault="00BA7356" w:rsidP="00BA7356">
      <w:pPr>
        <w:spacing w:before="240" w:after="240"/>
        <w:jc w:val="both"/>
        <w:rPr>
          <w:rFonts w:ascii="Times New Roman" w:eastAsia="Yu Gothic" w:hAnsi="Times New Roman" w:cs="Times New Roman"/>
          <w:color w:val="000000" w:themeColor="text1"/>
        </w:rPr>
      </w:pPr>
      <w:r w:rsidRPr="00BA7356">
        <w:rPr>
          <w:rFonts w:ascii="Times New Roman" w:eastAsia="Yu Gothic" w:hAnsi="Times New Roman" w:cs="Times New Roman"/>
          <w:color w:val="000000" w:themeColor="text1"/>
        </w:rPr>
        <w:t>[1]</w:t>
      </w:r>
      <w:r w:rsidRPr="00BA7356">
        <w:rPr>
          <w:rFonts w:ascii="Times New Roman" w:eastAsia="Yu Gothic" w:hAnsi="Times New Roman" w:cs="Times New Roman"/>
          <w:color w:val="000000" w:themeColor="text1"/>
        </w:rPr>
        <w:tab/>
        <w:t xml:space="preserve">Woodbury ML, </w:t>
      </w:r>
      <w:proofErr w:type="spellStart"/>
      <w:r w:rsidRPr="00BA7356">
        <w:rPr>
          <w:rFonts w:ascii="Times New Roman" w:eastAsia="Yu Gothic" w:hAnsi="Times New Roman" w:cs="Times New Roman"/>
          <w:color w:val="000000" w:themeColor="text1"/>
        </w:rPr>
        <w:t>Velozo</w:t>
      </w:r>
      <w:proofErr w:type="spellEnd"/>
      <w:r w:rsidRPr="00BA7356">
        <w:rPr>
          <w:rFonts w:ascii="Times New Roman" w:eastAsia="Yu Gothic" w:hAnsi="Times New Roman" w:cs="Times New Roman"/>
          <w:color w:val="000000" w:themeColor="text1"/>
        </w:rPr>
        <w:t xml:space="preserve"> CA, Richards LG, Duncan PW. Rasch analysis staging methodology to classify upper extremity movement impairment after stroke. Arch Phys Med </w:t>
      </w:r>
      <w:proofErr w:type="spellStart"/>
      <w:r w:rsidRPr="00BA7356">
        <w:rPr>
          <w:rFonts w:ascii="Times New Roman" w:eastAsia="Yu Gothic" w:hAnsi="Times New Roman" w:cs="Times New Roman"/>
          <w:color w:val="000000" w:themeColor="text1"/>
        </w:rPr>
        <w:t>Rehabil</w:t>
      </w:r>
      <w:proofErr w:type="spellEnd"/>
      <w:r w:rsidRPr="00BA7356">
        <w:rPr>
          <w:rFonts w:ascii="Times New Roman" w:eastAsia="Yu Gothic" w:hAnsi="Times New Roman" w:cs="Times New Roman"/>
          <w:color w:val="000000" w:themeColor="text1"/>
        </w:rPr>
        <w:t xml:space="preserve">. </w:t>
      </w:r>
      <w:proofErr w:type="gramStart"/>
      <w:r w:rsidRPr="00BA7356">
        <w:rPr>
          <w:rFonts w:ascii="Times New Roman" w:eastAsia="Yu Gothic" w:hAnsi="Times New Roman" w:cs="Times New Roman"/>
          <w:color w:val="000000" w:themeColor="text1"/>
        </w:rPr>
        <w:t>2013;94:1527</w:t>
      </w:r>
      <w:proofErr w:type="gramEnd"/>
      <w:r w:rsidRPr="00BA7356">
        <w:rPr>
          <w:rFonts w:ascii="Times New Roman" w:eastAsia="Yu Gothic" w:hAnsi="Times New Roman" w:cs="Times New Roman"/>
          <w:color w:val="000000" w:themeColor="text1"/>
        </w:rPr>
        <w:t>–33. https://doi.org/10.1016/j.apmr.2013.03.007</w:t>
      </w:r>
    </w:p>
    <w:p w14:paraId="573343B8" w14:textId="2AC1D49A" w:rsidR="00E71A98" w:rsidRDefault="00E71A98">
      <w:pPr>
        <w:rPr>
          <w:rFonts w:ascii="Times New Roman" w:eastAsia="Yu Gothic" w:hAnsi="Times New Roman" w:cs="Times New Roman"/>
          <w:color w:val="000000" w:themeColor="text1"/>
        </w:rPr>
      </w:pPr>
    </w:p>
    <w:p w14:paraId="57304BC0" w14:textId="77777777" w:rsidR="00BA7356" w:rsidRDefault="00BA7356">
      <w:pPr>
        <w:rPr>
          <w:rFonts w:ascii="Times New Roman" w:eastAsia="Yu Gothic" w:hAnsi="Times New Roman" w:cs="Times New Roman"/>
          <w:color w:val="000000" w:themeColor="text1"/>
        </w:rPr>
      </w:pPr>
      <w:r>
        <w:rPr>
          <w:rFonts w:ascii="Times New Roman" w:eastAsia="Yu Gothic" w:hAnsi="Times New Roman" w:cs="Times New Roman"/>
          <w:color w:val="000000" w:themeColor="text1"/>
        </w:rPr>
        <w:br w:type="page"/>
      </w:r>
    </w:p>
    <w:tbl>
      <w:tblPr>
        <w:tblW w:w="15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00"/>
        <w:gridCol w:w="2479"/>
        <w:gridCol w:w="2693"/>
        <w:gridCol w:w="2288"/>
        <w:gridCol w:w="1114"/>
        <w:gridCol w:w="1134"/>
        <w:gridCol w:w="1418"/>
      </w:tblGrid>
      <w:tr w:rsidR="0069037C" w14:paraId="63E14938" w14:textId="77777777" w:rsidTr="0069037C">
        <w:trPr>
          <w:trHeight w:val="660"/>
        </w:trPr>
        <w:tc>
          <w:tcPr>
            <w:tcW w:w="150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F9F963" w14:textId="35544DB8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410586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lastRenderedPageBreak/>
              <w:t>Additional Table 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Group differences </w:t>
            </w:r>
            <w:r w:rsidR="00410586">
              <w:rPr>
                <w:rFonts w:ascii="Times New Roman" w:eastAsia="Yu Gothic" w:hAnsi="Times New Roman" w:cs="Times New Roman"/>
                <w:color w:val="000000"/>
              </w:rPr>
              <w:t>in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the abnormal </w:t>
            </w:r>
            <w:r w:rsidR="00671A97">
              <w:rPr>
                <w:rFonts w:ascii="Times New Roman" w:eastAsia="Yu Gothic" w:hAnsi="Times New Roman" w:cs="Times New Roman"/>
                <w:color w:val="000000"/>
              </w:rPr>
              <w:t>flexor synergy index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and </w:t>
            </w:r>
            <w:r w:rsidR="000C7806">
              <w:rPr>
                <w:rFonts w:ascii="Times New Roman" w:eastAsia="Yu Gothic" w:hAnsi="Times New Roman" w:cs="Times New Roman"/>
                <w:color w:val="000000"/>
              </w:rPr>
              <w:t>upper extremity assessments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by the severity of upper extremity paralysis</w:t>
            </w:r>
          </w:p>
        </w:tc>
      </w:tr>
      <w:tr w:rsidR="0069037C" w14:paraId="7EBAA8A5" w14:textId="77777777" w:rsidTr="0069037C">
        <w:trPr>
          <w:trHeight w:val="1020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2C5BB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Variables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86F59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Severe upper extremity paralysis group</w:t>
            </w:r>
            <w:r>
              <w:rPr>
                <w:rFonts w:ascii="Times New Roman" w:eastAsia="Yu Gothic" w:hAnsi="Times New Roman" w:cs="Times New Roman"/>
                <w:color w:val="000000"/>
              </w:rPr>
              <w:br/>
              <w:t>(FMA–UE ≤ 19)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4900F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Moderate upper extremity paralysis group</w:t>
            </w:r>
            <w:r>
              <w:rPr>
                <w:rFonts w:ascii="Times New Roman" w:eastAsia="Yu Gothic" w:hAnsi="Times New Roman" w:cs="Times New Roman"/>
                <w:color w:val="000000"/>
              </w:rPr>
              <w:br/>
              <w:t>(FMA–UE 20–47)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576A6A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Mild upper extremity paralysis group</w:t>
            </w:r>
            <w:r>
              <w:rPr>
                <w:rFonts w:ascii="Times New Roman" w:eastAsia="Yu Gothic" w:hAnsi="Times New Roman" w:cs="Times New Roman"/>
                <w:color w:val="000000"/>
              </w:rPr>
              <w:br/>
              <w:t>(FMA–UE ≥ 48)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9A2B9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F</w:t>
            </w:r>
            <w:r>
              <w:rPr>
                <w:rFonts w:ascii="Times New Roman" w:eastAsia="Yu Gothic" w:hAnsi="Times New Roman" w:cs="Times New Roman"/>
                <w:color w:val="000000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80E5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Yu Gothic" w:hAnsi="Times New Roman" w:cs="Times New Roman"/>
                <w:color w:val="000000"/>
              </w:rPr>
              <w:t>-value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ACD16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Post hoc test</w:t>
            </w:r>
          </w:p>
        </w:tc>
      </w:tr>
      <w:tr w:rsidR="0069037C" w14:paraId="0D17B80E" w14:textId="77777777" w:rsidTr="0069037C">
        <w:trPr>
          <w:trHeight w:val="32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B21C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Number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1B2D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7A83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C4CD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BF924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1C6A6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EAFB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</w:tr>
      <w:tr w:rsidR="0069037C" w14:paraId="7560ACB8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CA9E1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FMA-UE, total score (0–66)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E10C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13.8 (3.2)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7702C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29.9 (7.8)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730C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52.5 (4.1)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85388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154.721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97C9F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EAF1C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1,2,3</w:t>
            </w:r>
          </w:p>
        </w:tc>
      </w:tr>
      <w:tr w:rsidR="0069037C" w14:paraId="50815278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F1019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                A score (0–36)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94F4B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12.4 (3.0)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3E3A3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22.3 (3.5)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0B39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29.3 (2.5)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82D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139.197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A332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A057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1,2,3</w:t>
            </w:r>
          </w:p>
        </w:tc>
      </w:tr>
      <w:tr w:rsidR="0069037C" w14:paraId="46B202D5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59911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                B score (0–10)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E1F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 (0.6)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3855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3.3 (2.7)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E6F88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8.4 (1.2)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99EF5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60.224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3DBD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6BCB3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1,2,3</w:t>
            </w:r>
          </w:p>
        </w:tc>
      </w:tr>
      <w:tr w:rsidR="0069037C" w14:paraId="1D64FB28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37D1F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                C score (0–14)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DCA4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 (0.7)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432E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4.1 (3.3)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1B204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11.6 (2.0)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72516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58.652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68A78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AF065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1,2,3</w:t>
            </w:r>
          </w:p>
        </w:tc>
      </w:tr>
      <w:tr w:rsidR="0069037C" w14:paraId="0462F944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3E44E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                D score (0–6)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A55B6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 (0.0)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6E4A3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0.3 (1.0)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F98F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3.2 (1.5)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BD39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51.735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03BB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0A83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2,3</w:t>
            </w:r>
          </w:p>
        </w:tc>
      </w:tr>
      <w:tr w:rsidR="0069037C" w14:paraId="25B0F0F2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155A8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MAS, elbow flexor (0/1/1+/2/3/4)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FF17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1/7/17/4/3/0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F172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4/21/33/3/0/0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72FF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2/3/5/0/0/0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814E9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703FC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0D67A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</w:t>
            </w:r>
          </w:p>
        </w:tc>
      </w:tr>
      <w:tr w:rsidR="0069037C" w14:paraId="610415D8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839AD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MAS, wrist flexor (0/1/1+/2/3/4)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5973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2/6/13/6/5/0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93BB6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6/20/29/6/0/0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49207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2/2/6/0/0/0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2F95F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5A1C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B46B3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</w:t>
            </w:r>
          </w:p>
        </w:tc>
      </w:tr>
      <w:tr w:rsidR="0069037C" w14:paraId="51F55B66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6F0FB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MAS, finger MP (0/1/1+/2/3/4)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7D48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11/6/8/7/0/0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0348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3/17/10/0/1/0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AF1F5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5/3/2/0/0/0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12D94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E5DFC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5081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</w:t>
            </w:r>
          </w:p>
        </w:tc>
      </w:tr>
      <w:tr w:rsidR="0069037C" w14:paraId="07DE3A0C" w14:textId="77777777" w:rsidTr="0069037C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03FAE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MAS, finger PIP (0/1/1+/2/3/4)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7D81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4/1/14/11/2/0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8E68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10/13/23/13/2/0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1C26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5/1/2/2/0/0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AF98E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468CC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51408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</w:t>
            </w:r>
          </w:p>
        </w:tc>
      </w:tr>
      <w:tr w:rsidR="0069037C" w14:paraId="633C3D9D" w14:textId="77777777" w:rsidTr="00671A97">
        <w:trPr>
          <w:trHeight w:val="169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65883E" w14:textId="26840013" w:rsidR="0069037C" w:rsidRDefault="00671A9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  <w:r w:rsidR="0069037C">
              <w:rPr>
                <w:rFonts w:ascii="Times New Roman" w:eastAsia="Yu Gothic" w:hAnsi="Times New Roman" w:cs="Times New Roman"/>
                <w:color w:val="000000"/>
              </w:rPr>
              <w:t xml:space="preserve">bnormal </w:t>
            </w:r>
            <w:r>
              <w:rPr>
                <w:rFonts w:ascii="Times New Roman" w:eastAsia="Yu Gothic" w:hAnsi="Times New Roman" w:cs="Times New Roman"/>
                <w:color w:val="000000"/>
              </w:rPr>
              <w:t>flexor synergy index</w:t>
            </w:r>
            <w:r w:rsidR="0069037C">
              <w:rPr>
                <w:rFonts w:ascii="Times New Roman" w:eastAsia="Yu Gothic" w:hAnsi="Times New Roman" w:cs="Times New Roman"/>
                <w:color w:val="000000"/>
              </w:rPr>
              <w:t xml:space="preserve"> (%) </w:t>
            </w:r>
            <w:r w:rsidR="0069037C"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8A0F8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80.0 (8.1)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41A0B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86.7 (7.8)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7EA9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93.1 (3.1)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E9CF5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14.190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84C82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BC11D" w14:textId="77777777" w:rsidR="0069037C" w:rsidRDefault="0069037C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1,2,3</w:t>
            </w:r>
          </w:p>
        </w:tc>
      </w:tr>
      <w:tr w:rsidR="0069037C" w14:paraId="4838B729" w14:textId="77777777" w:rsidTr="0069037C">
        <w:trPr>
          <w:trHeight w:val="36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14A633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 xml:space="preserve">a 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mean (standard deviation), </w:t>
            </w:r>
            <w:r>
              <w:rPr>
                <w:rFonts w:ascii="Times New Roman" w:eastAsia="Yu Gothic" w:hAnsi="Times New Roman" w:cs="Times New Roman"/>
                <w:color w:val="000000"/>
                <w:vertAlign w:val="superscript"/>
              </w:rPr>
              <w:t xml:space="preserve">b </w:t>
            </w:r>
            <w:r>
              <w:rPr>
                <w:rFonts w:ascii="Times New Roman" w:eastAsia="Yu Gothic" w:hAnsi="Times New Roman" w:cs="Times New Roman"/>
                <w:color w:val="000000"/>
              </w:rPr>
              <w:t>number</w:t>
            </w:r>
          </w:p>
        </w:tc>
      </w:tr>
      <w:tr w:rsidR="0069037C" w14:paraId="6199599E" w14:textId="77777777" w:rsidTr="0069037C">
        <w:trPr>
          <w:trHeight w:val="68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D7886B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Post hoc test: 1, significant difference between severe and moderate; 2, significant difference between severe and mild; 3, significant difference between moderate and mild.  </w:t>
            </w:r>
          </w:p>
        </w:tc>
      </w:tr>
      <w:tr w:rsidR="0069037C" w14:paraId="27DEE404" w14:textId="77777777" w:rsidTr="0069037C">
        <w:trPr>
          <w:trHeight w:val="32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10000D" w14:textId="77777777" w:rsidR="0069037C" w:rsidRDefault="0069037C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Abbreviation: FMA-UE, fugl-meyer assessment-upper extremity; MAS, modified ashworth scale; MP, metacarpophalangeal; PIP, proximal interphalangeal. </w:t>
            </w:r>
          </w:p>
        </w:tc>
      </w:tr>
    </w:tbl>
    <w:p w14:paraId="2036EA71" w14:textId="77777777" w:rsidR="00BA7356" w:rsidRPr="0069037C" w:rsidRDefault="00BA7356" w:rsidP="00BA7356">
      <w:pPr>
        <w:rPr>
          <w:color w:val="000000" w:themeColor="text1"/>
        </w:rPr>
      </w:pPr>
    </w:p>
    <w:sectPr w:rsidR="00BA7356" w:rsidRPr="0069037C" w:rsidSect="00753FC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145EB"/>
    <w:multiLevelType w:val="hybridMultilevel"/>
    <w:tmpl w:val="6B7A8934"/>
    <w:lvl w:ilvl="0" w:tplc="DCA40D16">
      <w:start w:val="1"/>
      <w:numFmt w:val="decimal"/>
      <w:lvlText w:val="[%1]."/>
      <w:lvlJc w:val="left"/>
      <w:pPr>
        <w:ind w:left="728" w:hanging="440"/>
      </w:pPr>
      <w:rPr>
        <w:rFonts w:hint="eastAsia"/>
        <w:color w:val="000000" w:themeColor="text1"/>
      </w:rPr>
    </w:lvl>
    <w:lvl w:ilvl="1" w:tplc="40F213D0" w:tentative="1">
      <w:start w:val="1"/>
      <w:numFmt w:val="aiueoFullWidth"/>
      <w:lvlText w:val="(%2)"/>
      <w:lvlJc w:val="left"/>
      <w:pPr>
        <w:ind w:left="1168" w:hanging="440"/>
      </w:pPr>
    </w:lvl>
    <w:lvl w:ilvl="2" w:tplc="9AECD62A" w:tentative="1">
      <w:start w:val="1"/>
      <w:numFmt w:val="decimalEnclosedCircle"/>
      <w:lvlText w:val="%3"/>
      <w:lvlJc w:val="left"/>
      <w:pPr>
        <w:ind w:left="1608" w:hanging="440"/>
      </w:pPr>
    </w:lvl>
    <w:lvl w:ilvl="3" w:tplc="C986BEB2" w:tentative="1">
      <w:start w:val="1"/>
      <w:numFmt w:val="decimal"/>
      <w:lvlText w:val="%4."/>
      <w:lvlJc w:val="left"/>
      <w:pPr>
        <w:ind w:left="2048" w:hanging="440"/>
      </w:pPr>
    </w:lvl>
    <w:lvl w:ilvl="4" w:tplc="66A42A34" w:tentative="1">
      <w:start w:val="1"/>
      <w:numFmt w:val="aiueoFullWidth"/>
      <w:lvlText w:val="(%5)"/>
      <w:lvlJc w:val="left"/>
      <w:pPr>
        <w:ind w:left="2488" w:hanging="440"/>
      </w:pPr>
    </w:lvl>
    <w:lvl w:ilvl="5" w:tplc="61489C9A" w:tentative="1">
      <w:start w:val="1"/>
      <w:numFmt w:val="decimalEnclosedCircle"/>
      <w:lvlText w:val="%6"/>
      <w:lvlJc w:val="left"/>
      <w:pPr>
        <w:ind w:left="2928" w:hanging="440"/>
      </w:pPr>
    </w:lvl>
    <w:lvl w:ilvl="6" w:tplc="6226C5BC" w:tentative="1">
      <w:start w:val="1"/>
      <w:numFmt w:val="decimal"/>
      <w:lvlText w:val="%7."/>
      <w:lvlJc w:val="left"/>
      <w:pPr>
        <w:ind w:left="3368" w:hanging="440"/>
      </w:pPr>
    </w:lvl>
    <w:lvl w:ilvl="7" w:tplc="35BE18B6" w:tentative="1">
      <w:start w:val="1"/>
      <w:numFmt w:val="aiueoFullWidth"/>
      <w:lvlText w:val="(%8)"/>
      <w:lvlJc w:val="left"/>
      <w:pPr>
        <w:ind w:left="3808" w:hanging="440"/>
      </w:pPr>
    </w:lvl>
    <w:lvl w:ilvl="8" w:tplc="67D02562" w:tentative="1">
      <w:start w:val="1"/>
      <w:numFmt w:val="decimalEnclosedCircle"/>
      <w:lvlText w:val="%9"/>
      <w:lvlJc w:val="left"/>
      <w:pPr>
        <w:ind w:left="4248" w:hanging="440"/>
      </w:pPr>
    </w:lvl>
  </w:abstractNum>
  <w:num w:numId="1" w16cid:durableId="109362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61"/>
    <w:rsid w:val="000C7806"/>
    <w:rsid w:val="001175A4"/>
    <w:rsid w:val="001E5D5B"/>
    <w:rsid w:val="0024688D"/>
    <w:rsid w:val="00256C6B"/>
    <w:rsid w:val="002D681F"/>
    <w:rsid w:val="00410586"/>
    <w:rsid w:val="00434E1C"/>
    <w:rsid w:val="00532361"/>
    <w:rsid w:val="00560183"/>
    <w:rsid w:val="00671A97"/>
    <w:rsid w:val="0069037C"/>
    <w:rsid w:val="00696414"/>
    <w:rsid w:val="006D7712"/>
    <w:rsid w:val="00753FC7"/>
    <w:rsid w:val="007F54F5"/>
    <w:rsid w:val="00981C13"/>
    <w:rsid w:val="00982608"/>
    <w:rsid w:val="00A37004"/>
    <w:rsid w:val="00AE6D26"/>
    <w:rsid w:val="00BA7356"/>
    <w:rsid w:val="00C27175"/>
    <w:rsid w:val="00DB5634"/>
    <w:rsid w:val="00DE6966"/>
    <w:rsid w:val="00DF3405"/>
    <w:rsid w:val="00E03F87"/>
    <w:rsid w:val="00E35F6B"/>
    <w:rsid w:val="00E7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7C52E"/>
  <w15:chartTrackingRefBased/>
  <w15:docId w15:val="{A9928957-63F0-E548-8520-30A26193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361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532361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6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6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61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61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61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61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61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61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23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23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23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23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236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36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23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36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532361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532361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21">
    <w:name w:val="Intense Emphasis"/>
    <w:basedOn w:val="a0"/>
    <w:uiPriority w:val="21"/>
    <w:qFormat/>
    <w:rsid w:val="005323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236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5323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236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rsid w:val="00BA7356"/>
    <w:rPr>
      <w:color w:val="0000FF"/>
      <w:u w:val="single"/>
    </w:rPr>
  </w:style>
  <w:style w:type="paragraph" w:customStyle="1" w:styleId="Paragraph">
    <w:name w:val="Paragraph"/>
    <w:basedOn w:val="a"/>
    <w:rsid w:val="00BA7356"/>
    <w:pPr>
      <w:widowControl w:val="0"/>
      <w:spacing w:before="240" w:line="480" w:lineRule="auto"/>
    </w:pPr>
    <w:rPr>
      <w:rFonts w:ascii="Times New Roman" w:eastAsia="Times New Roman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伊藤大将</dc:creator>
  <cp:keywords/>
  <dc:description/>
  <cp:lastModifiedBy>伊藤大将</cp:lastModifiedBy>
  <cp:revision>2</cp:revision>
  <dcterms:created xsi:type="dcterms:W3CDTF">2024-12-17T01:43:00Z</dcterms:created>
  <dcterms:modified xsi:type="dcterms:W3CDTF">2024-12-17T01:43:00Z</dcterms:modified>
</cp:coreProperties>
</file>