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CE1097" w14:textId="5806B469" w:rsidR="002E2EC0" w:rsidRDefault="004E155E" w:rsidP="003B06FA">
      <w:pPr>
        <w:spacing w:after="160" w:line="240" w:lineRule="auto"/>
        <w:jc w:val="both"/>
        <w:rPr>
          <w:b/>
          <w:bCs/>
        </w:rPr>
      </w:pPr>
      <w:r w:rsidRPr="003D0931">
        <w:rPr>
          <w:b/>
          <w:bCs/>
        </w:rPr>
        <w:t xml:space="preserve">Supplementary </w:t>
      </w:r>
      <w:r>
        <w:rPr>
          <w:b/>
          <w:bCs/>
        </w:rPr>
        <w:t>Materials:</w:t>
      </w:r>
    </w:p>
    <w:p w14:paraId="30164463" w14:textId="66A8D451" w:rsidR="004E155E" w:rsidRPr="001127FD" w:rsidRDefault="004E155E" w:rsidP="004E155E">
      <w:pPr>
        <w:spacing w:after="160"/>
        <w:jc w:val="both"/>
        <w:rPr>
          <w:b/>
          <w:bCs/>
        </w:rPr>
      </w:pPr>
      <w:r w:rsidRPr="001127FD">
        <w:rPr>
          <w:b/>
          <w:bCs/>
        </w:rPr>
        <w:t>Calculations of block and session length with constraints:</w:t>
      </w:r>
    </w:p>
    <w:p w14:paraId="614A5A96" w14:textId="77777777" w:rsidR="004E155E" w:rsidRPr="001127FD" w:rsidRDefault="004E155E" w:rsidP="004E155E">
      <w:pPr>
        <w:jc w:val="both"/>
      </w:pPr>
      <w:r w:rsidRPr="001127FD">
        <w:t>There were four general constraints defined to design the experiment blocks and classifier:</w:t>
      </w:r>
    </w:p>
    <w:p w14:paraId="7C821769" w14:textId="77777777" w:rsidR="004E155E" w:rsidRPr="001127FD" w:rsidRDefault="004E155E" w:rsidP="004E155E">
      <w:pPr>
        <w:jc w:val="both"/>
      </w:pPr>
    </w:p>
    <w:p w14:paraId="25C91F11" w14:textId="77777777" w:rsidR="004E155E" w:rsidRPr="001127FD" w:rsidRDefault="004E155E" w:rsidP="004E155E">
      <w:pPr>
        <w:numPr>
          <w:ilvl w:val="0"/>
          <w:numId w:val="1"/>
        </w:numPr>
        <w:spacing w:after="160" w:line="278" w:lineRule="auto"/>
        <w:contextualSpacing/>
        <w:jc w:val="both"/>
      </w:pPr>
      <w:r w:rsidRPr="001127FD">
        <w:t>Maximum EEG experiment duration for participant comfort:</w:t>
      </w:r>
    </w:p>
    <w:p w14:paraId="2FB995D6" w14:textId="77777777" w:rsidR="004E155E" w:rsidRPr="001127FD" w:rsidRDefault="008E3C46" w:rsidP="004E155E">
      <w:pPr>
        <w:ind w:left="720"/>
        <w:contextualSpacing/>
        <w:jc w:val="both"/>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session</m:t>
                  </m:r>
                </m:sub>
              </m:sSub>
              <m:r>
                <w:rPr>
                  <w:rFonts w:ascii="Cambria Math" w:hAnsi="Cambria Math"/>
                </w:rPr>
                <m:t xml:space="preserve"> ≤ </m:t>
              </m:r>
              <m:r>
                <w:rPr>
                  <w:rFonts w:ascii="Cambria Math" w:hAnsi="Cambria Math"/>
                </w:rPr>
                <m:t>T</m:t>
              </m:r>
            </m:e>
            <m:sub>
              <m:r>
                <w:rPr>
                  <w:rFonts w:ascii="Cambria Math" w:hAnsi="Cambria Math"/>
                </w:rPr>
                <m:t>max</m:t>
              </m:r>
              <m:r>
                <w:rPr>
                  <w:rFonts w:ascii="Cambria Math" w:hAnsi="Cambria Math"/>
                </w:rPr>
                <m:t>,</m:t>
              </m:r>
              <m:r>
                <w:rPr>
                  <w:rFonts w:ascii="Cambria Math" w:hAnsi="Cambria Math"/>
                </w:rPr>
                <m:t>session</m:t>
              </m:r>
            </m:sub>
          </m:sSub>
          <m:r>
            <w:rPr>
              <w:rFonts w:ascii="Cambria Math" w:hAnsi="Cambria Math"/>
            </w:rPr>
            <m:t xml:space="preserve">=45 </m:t>
          </m:r>
          <m:r>
            <w:rPr>
              <w:rFonts w:ascii="Cambria Math" w:hAnsi="Cambria Math"/>
            </w:rPr>
            <m:t>minutes</m:t>
          </m:r>
          <m:r>
            <w:rPr>
              <w:rFonts w:ascii="Cambria Math" w:hAnsi="Cambria Math"/>
            </w:rPr>
            <m:t>=2700</m:t>
          </m:r>
          <m:r>
            <w:rPr>
              <w:rFonts w:ascii="Cambria Math" w:hAnsi="Cambria Math"/>
            </w:rPr>
            <m:t>s</m:t>
          </m:r>
          <m:r>
            <m:rPr>
              <m:sty m:val="p"/>
            </m:rPr>
            <w:rPr>
              <w:rFonts w:ascii="Cambria Math" w:hAnsi="Cambria Math"/>
            </w:rPr>
            <w:br/>
          </m:r>
        </m:oMath>
      </m:oMathPara>
    </w:p>
    <w:p w14:paraId="7DB5F13B" w14:textId="304AFE5F" w:rsidR="004E155E" w:rsidRPr="001127FD" w:rsidRDefault="004E155E" w:rsidP="004E155E">
      <w:pPr>
        <w:numPr>
          <w:ilvl w:val="0"/>
          <w:numId w:val="1"/>
        </w:numPr>
        <w:spacing w:after="160"/>
        <w:contextualSpacing/>
        <w:jc w:val="both"/>
      </w:pPr>
      <w:r w:rsidRPr="001127FD">
        <w:t xml:space="preserve">Minimum time for knee flexion-extension for patients with SCI during gait. Determined by observing participants with SCI during gait in </w:t>
      </w:r>
      <w:r w:rsidR="002E2EC0">
        <w:fldChar w:fldCharType="begin"/>
      </w:r>
      <w:r w:rsidR="002E2EC0">
        <w:instrText xml:space="preserve"> ADDIN ZOTERO_ITEM CSL_CITATION {"citationID":"jrm4rOri","properties":{"formattedCitation":"(1)","plainCitation":"(1)","noteIndex":0},"citationItems":[{"id":251,"uris":["http://zotero.org/users/12936483/items/WQRSYHLG"],"itemData":{"id":251,"type":"article-journal","container-title":"Nature","DOI":"10.1038/s41586-018-0649-2","ISSN":"0028-0836, 1476-4687","issue":"7729","journalAbbreviation":"Nature","language":"en","page":"65-71","source":"DOI.org (Crossref)","title":"Targeted neurotechnology restores walking in humans with spinal cord injury","volume":"563","author":[{"family":"Wagner","given":"Fabien B."},{"family":"Mignardot","given":"Jean-Baptiste"},{"family":"Le Goff-Mignardot","given":"Camille G."},{"family":"Demesmaeker","given":"Robin"},{"family":"Komi","given":"Salif"},{"family":"Capogrosso","given":"Marco"},{"family":"Rowald","given":"Andreas"},{"family":"Seáñez","given":"Ismael"},{"family":"Caban","given":"Miroslav"},{"family":"Pirondini","given":"Elvira"},{"family":"Vat","given":"Molywan"},{"family":"McCracken","given":"Laura A."},{"family":"Heimgartner","given":"Roman"},{"family":"Fodor","given":"Isabelle"},{"family":"Watrin","given":"Anne"},{"family":"Seguin","given":"Perrine"},{"family":"Paoles","given":"Edoardo"},{"family":"Van Den Keybus","given":"Katrien"},{"family":"Eberle","given":"Grégoire"},{"family":"Schurch","given":"Brigitte"},{"family":"Pralong","given":"Etienne"},{"family":"Becce","given":"Fabio"},{"family":"Prior","given":"John"},{"family":"Buse","given":"Nicholas"},{"family":"Buschman","given":"Rik"},{"family":"Neufeld","given":"Esra"},{"family":"Kuster","given":"Niels"},{"family":"Carda","given":"Stefano"},{"family":"Von Zitzewitz","given":"Joachim"},{"family":"Delattre","given":"Vincent"},{"family":"Denison","given":"Tim"},{"family":"Lambert","given":"Hendrik"},{"family":"Minassian","given":"Karen"},{"family":"Bloch","given":"Jocelyne"},{"family":"Courtine","given":"Grégoire"}],"issued":{"date-parts":[["2018",11,1]]}}}],"schema":"https://github.com/citation-style-language/schema/raw/master/csl-citation.json"} </w:instrText>
      </w:r>
      <w:r w:rsidR="002E2EC0">
        <w:fldChar w:fldCharType="separate"/>
      </w:r>
      <w:r w:rsidR="002E2EC0" w:rsidRPr="002E2EC0">
        <w:t>(1)</w:t>
      </w:r>
      <w:r w:rsidR="002E2EC0">
        <w:fldChar w:fldCharType="end"/>
      </w:r>
      <w:r w:rsidRPr="001127FD">
        <w:t>.</w:t>
      </w:r>
    </w:p>
    <w:p w14:paraId="47F45101" w14:textId="77777777" w:rsidR="004E155E" w:rsidRPr="001127FD" w:rsidRDefault="008E3C46" w:rsidP="004E155E">
      <w:pPr>
        <w:ind w:left="720"/>
        <w:contextualSpacing/>
        <w:jc w:val="both"/>
        <w:rPr>
          <w:rFonts w:eastAsia="Times New Roman"/>
        </w:rPr>
      </w:pPr>
      <m:oMathPara>
        <m:oMath>
          <m:sSub>
            <m:sSubPr>
              <m:ctrlPr>
                <w:rPr>
                  <w:rFonts w:ascii="Cambria Math" w:hAnsi="Cambria Math"/>
                  <w:i/>
                  <w:lang w:bidi="he-IL"/>
                </w:rPr>
              </m:ctrlPr>
            </m:sSubPr>
            <m:e>
              <m:r>
                <w:rPr>
                  <w:rFonts w:ascii="Cambria Math" w:hAnsi="Cambria Math"/>
                </w:rPr>
                <m:t>T</m:t>
              </m:r>
            </m:e>
            <m:sub>
              <m:r>
                <w:rPr>
                  <w:rFonts w:ascii="Cambria Math" w:hAnsi="Cambria Math"/>
                </w:rPr>
                <m:t>move</m:t>
              </m:r>
            </m:sub>
          </m:sSub>
          <m:r>
            <w:rPr>
              <w:rFonts w:ascii="Cambria Math" w:hAnsi="Cambria Math"/>
            </w:rPr>
            <m:t xml:space="preserve">≥ </m:t>
          </m:r>
          <m:sSub>
            <m:sSubPr>
              <m:ctrlPr>
                <w:rPr>
                  <w:rFonts w:ascii="Cambria Math" w:hAnsi="Cambria Math"/>
                  <w:i/>
                  <w:lang w:bidi="he-IL"/>
                </w:rPr>
              </m:ctrlPr>
            </m:sSubPr>
            <m:e>
              <m:r>
                <w:rPr>
                  <w:rFonts w:ascii="Cambria Math" w:hAnsi="Cambria Math"/>
                </w:rPr>
                <m:t>T</m:t>
              </m:r>
            </m:e>
            <m:sub>
              <m:r>
                <w:rPr>
                  <w:rFonts w:ascii="Cambria Math" w:hAnsi="Cambria Math"/>
                </w:rPr>
                <m:t>min</m:t>
              </m:r>
              <m:r>
                <w:rPr>
                  <w:rFonts w:ascii="Cambria Math" w:hAnsi="Cambria Math"/>
                </w:rPr>
                <m:t>,</m:t>
              </m:r>
              <m:r>
                <w:rPr>
                  <w:rFonts w:ascii="Cambria Math" w:hAnsi="Cambria Math"/>
                </w:rPr>
                <m:t>knee</m:t>
              </m:r>
            </m:sub>
          </m:sSub>
          <m:r>
            <w:rPr>
              <w:rFonts w:ascii="Cambria Math" w:hAnsi="Cambria Math"/>
            </w:rPr>
            <m:t xml:space="preserve"> = 3 </m:t>
          </m:r>
          <m:r>
            <w:rPr>
              <w:rFonts w:ascii="Cambria Math" w:hAnsi="Cambria Math"/>
            </w:rPr>
            <m:t>s</m:t>
          </m:r>
          <m:r>
            <m:rPr>
              <m:sty m:val="p"/>
            </m:rPr>
            <w:rPr>
              <w:rFonts w:ascii="Cambria Math" w:eastAsia="Times New Roman" w:hAnsi="Cambria Math"/>
              <w:color w:val="C00000"/>
            </w:rPr>
            <w:br/>
          </m:r>
        </m:oMath>
      </m:oMathPara>
    </w:p>
    <w:p w14:paraId="02D474D9" w14:textId="77777777" w:rsidR="004E155E" w:rsidRPr="001127FD" w:rsidRDefault="004E155E" w:rsidP="004E155E">
      <w:pPr>
        <w:numPr>
          <w:ilvl w:val="0"/>
          <w:numId w:val="1"/>
        </w:numPr>
        <w:spacing w:after="160" w:line="278" w:lineRule="auto"/>
        <w:contextualSpacing/>
        <w:jc w:val="both"/>
      </w:pPr>
      <w:r w:rsidRPr="001127FD">
        <w:t>Optimal ratio of datapoints to dimensionality of the feature space is 10:1. We acknowledge that a limitation of this constraint is that it assumes that each datapoint is independent and identically distributed from the same distribution. This is not the case for our data due to the inherent filtering applied and the non-stationary nature of EEG signals. We chose to respect this constraint while acknowledging the potential limitations.</w:t>
      </w:r>
    </w:p>
    <w:p w14:paraId="2B93685F" w14:textId="77777777" w:rsidR="004E155E" w:rsidRPr="001127FD" w:rsidRDefault="004E155E" w:rsidP="004E155E">
      <w:pPr>
        <w:ind w:left="720"/>
        <w:contextualSpacing/>
        <w:jc w:val="both"/>
      </w:pPr>
      <w:r w:rsidRPr="001127FD">
        <w:tab/>
        <w:t>Assuming we reserve one block for testing of the classifier, the total number of datapoints in the training/validation set for each classifier is a sum of the timepoints within rest, focus, and move periods, multiplied by the number of repetitions and the number of blocks used for training, all divided by the width of the time window:</w:t>
      </w:r>
    </w:p>
    <w:p w14:paraId="5117DF8D" w14:textId="77777777" w:rsidR="004E155E" w:rsidRPr="001127FD" w:rsidRDefault="008E3C46" w:rsidP="004E155E">
      <w:pPr>
        <w:ind w:left="720"/>
        <w:contextualSpacing/>
        <w:jc w:val="both"/>
        <w:rPr>
          <w:rFonts w:eastAsia="Times New Roman"/>
        </w:rPr>
      </w:pPr>
      <m:oMathPara>
        <m:oMath>
          <m:sSub>
            <m:sSubPr>
              <m:ctrlPr>
                <w:rPr>
                  <w:rFonts w:ascii="Cambria Math" w:hAnsi="Cambria Math"/>
                  <w:i/>
                </w:rPr>
              </m:ctrlPr>
            </m:sSubPr>
            <m:e>
              <m:r>
                <w:rPr>
                  <w:rFonts w:ascii="Cambria Math" w:hAnsi="Cambria Math"/>
                </w:rPr>
                <m:t>N</m:t>
              </m:r>
            </m:e>
            <m:sub>
              <m:r>
                <w:rPr>
                  <w:rFonts w:ascii="Cambria Math" w:hAnsi="Cambria Math"/>
                </w:rPr>
                <m:t>dataset</m:t>
              </m:r>
            </m:sub>
          </m:sSub>
          <m:r>
            <w:rPr>
              <w:rFonts w:ascii="Cambria Math" w:hAnsi="Cambria Math"/>
            </w:rPr>
            <m:t xml:space="preserve"> =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rest</m:t>
                          </m:r>
                        </m:sub>
                      </m:sSub>
                      <m:r>
                        <w:rPr>
                          <w:rFonts w:ascii="Cambria Math" w:hAnsi="Cambria Math"/>
                        </w:rPr>
                        <m:t>+</m:t>
                      </m:r>
                      <m:r>
                        <w:rPr>
                          <w:rFonts w:ascii="Cambria Math" w:hAnsi="Cambria Math"/>
                        </w:rPr>
                        <m:t>T</m:t>
                      </m:r>
                    </m:e>
                    <m:sub>
                      <m:r>
                        <w:rPr>
                          <w:rFonts w:ascii="Cambria Math" w:hAnsi="Cambria Math"/>
                        </w:rPr>
                        <m:t>focus</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move</m:t>
                      </m:r>
                    </m:sub>
                  </m:sSub>
                </m:e>
              </m:d>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trials</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blocks</m:t>
                      </m:r>
                    </m:sub>
                  </m:sSub>
                  <m:r>
                    <w:rPr>
                      <w:rFonts w:ascii="Cambria Math" w:hAnsi="Cambria Math"/>
                    </w:rPr>
                    <m:t xml:space="preserve"> - 1</m:t>
                  </m:r>
                </m:e>
              </m:d>
            </m:num>
            <m:den>
              <m:sSub>
                <m:sSubPr>
                  <m:ctrlPr>
                    <w:rPr>
                      <w:rFonts w:ascii="Cambria Math" w:hAnsi="Cambria Math"/>
                      <w:i/>
                    </w:rPr>
                  </m:ctrlPr>
                </m:sSubPr>
                <m:e>
                  <m:r>
                    <w:rPr>
                      <w:rFonts w:ascii="Cambria Math" w:hAnsi="Cambria Math"/>
                    </w:rPr>
                    <m:t>T</m:t>
                  </m:r>
                </m:e>
                <m:sub>
                  <m:r>
                    <w:rPr>
                      <w:rFonts w:ascii="Cambria Math" w:hAnsi="Cambria Math"/>
                    </w:rPr>
                    <m:t>window</m:t>
                  </m:r>
                </m:sub>
              </m:sSub>
            </m:den>
          </m:f>
          <m:r>
            <m:rPr>
              <m:sty m:val="p"/>
            </m:rPr>
            <w:rPr>
              <w:rFonts w:ascii="Cambria Math" w:eastAsia="Times New Roman" w:hAnsi="Cambria Math"/>
              <w:color w:val="C00000"/>
            </w:rPr>
            <w:br/>
          </m:r>
        </m:oMath>
      </m:oMathPara>
    </w:p>
    <w:p w14:paraId="1BE8094E" w14:textId="77777777" w:rsidR="004E155E" w:rsidRPr="001127FD" w:rsidRDefault="004E155E" w:rsidP="004E155E">
      <w:pPr>
        <w:ind w:left="720"/>
        <w:contextualSpacing/>
        <w:jc w:val="both"/>
      </w:pPr>
      <w:r w:rsidRPr="001127FD">
        <w:t>The dimensionality of the feature space constructed is:</w:t>
      </w:r>
    </w:p>
    <w:p w14:paraId="2FB9AA16" w14:textId="77777777" w:rsidR="004E155E" w:rsidRPr="001127FD" w:rsidRDefault="004E155E" w:rsidP="004E155E">
      <w:pPr>
        <w:ind w:left="720"/>
        <w:contextualSpacing/>
        <w:jc w:val="both"/>
      </w:pPr>
      <m:oMathPara>
        <m:oMath>
          <m:r>
            <w:rPr>
              <w:rFonts w:ascii="Cambria Math" w:hAnsi="Cambria Math"/>
            </w:rPr>
            <m:t>d =</m:t>
          </m:r>
          <m:sSub>
            <m:sSubPr>
              <m:ctrlPr>
                <w:rPr>
                  <w:rFonts w:ascii="Cambria Math" w:hAnsi="Cambria Math"/>
                  <w:i/>
                </w:rPr>
              </m:ctrlPr>
            </m:sSubPr>
            <m:e>
              <m:r>
                <w:rPr>
                  <w:rFonts w:ascii="Cambria Math" w:hAnsi="Cambria Math"/>
                </w:rPr>
                <m:t>N</m:t>
              </m:r>
            </m:e>
            <m:sub>
              <m:r>
                <w:rPr>
                  <w:rFonts w:ascii="Cambria Math" w:hAnsi="Cambria Math"/>
                </w:rPr>
                <m:t>frequencies</m:t>
              </m:r>
            </m:sub>
          </m:sSub>
          <m:sSub>
            <m:sSubPr>
              <m:ctrlPr>
                <w:rPr>
                  <w:rFonts w:ascii="Cambria Math" w:hAnsi="Cambria Math"/>
                  <w:i/>
                </w:rPr>
              </m:ctrlPr>
            </m:sSubPr>
            <m:e>
              <m:r>
                <w:rPr>
                  <w:rFonts w:ascii="Cambria Math" w:hAnsi="Cambria Math"/>
                </w:rPr>
                <m:t xml:space="preserve"> N</m:t>
              </m:r>
            </m:e>
            <m:sub>
              <m:r>
                <w:rPr>
                  <w:rFonts w:ascii="Cambria Math" w:hAnsi="Cambria Math"/>
                </w:rPr>
                <m:t>electrodes</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lags</m:t>
              </m:r>
            </m:sub>
          </m:sSub>
          <m:r>
            <w:rPr>
              <w:rFonts w:ascii="Cambria Math" w:hAnsi="Cambria Math"/>
            </w:rPr>
            <m:t>=480</m:t>
          </m:r>
          <m:r>
            <m:rPr>
              <m:sty m:val="p"/>
            </m:rPr>
            <w:rPr>
              <w:rFonts w:ascii="Cambria Math" w:hAnsi="Cambria Math"/>
              <w:color w:val="C00000"/>
            </w:rPr>
            <w:br/>
          </m:r>
        </m:oMath>
      </m:oMathPara>
    </w:p>
    <w:p w14:paraId="00BEE30A" w14:textId="77777777" w:rsidR="004E155E" w:rsidRPr="001127FD" w:rsidRDefault="004E155E" w:rsidP="004E155E">
      <w:pPr>
        <w:ind w:left="720"/>
        <w:contextualSpacing/>
        <w:jc w:val="both"/>
      </w:pPr>
      <w:r w:rsidRPr="001127FD">
        <w:t>Therefore, the optimal ratio requires that the total number of datapoints in the training set be 10 times the dimensionality of the feature space. That is:</w:t>
      </w:r>
    </w:p>
    <w:p w14:paraId="3618B054" w14:textId="77777777" w:rsidR="004E155E" w:rsidRPr="001127FD" w:rsidRDefault="008E3C46" w:rsidP="004E155E">
      <w:pPr>
        <w:ind w:left="720"/>
        <w:contextualSpacing/>
        <w:jc w:val="both"/>
      </w:pPr>
      <m:oMathPara>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dataset</m:t>
                  </m:r>
                </m:sub>
              </m:sSub>
            </m:num>
            <m:den>
              <m:r>
                <w:rPr>
                  <w:rFonts w:ascii="Cambria Math" w:hAnsi="Cambria Math"/>
                </w:rPr>
                <m:t>d</m:t>
              </m:r>
            </m:den>
          </m:f>
          <m:r>
            <w:rPr>
              <w:rFonts w:ascii="Cambria Math" w:hAnsi="Cambria Math"/>
            </w:rPr>
            <m:t xml:space="preserve"> ≥10</m:t>
          </m:r>
        </m:oMath>
      </m:oMathPara>
    </w:p>
    <w:p w14:paraId="6C315B1C" w14:textId="34035FB5" w:rsidR="004E155E" w:rsidRPr="001127FD" w:rsidRDefault="004E155E" w:rsidP="004E155E">
      <w:pPr>
        <w:numPr>
          <w:ilvl w:val="0"/>
          <w:numId w:val="1"/>
        </w:numPr>
        <w:spacing w:after="160" w:line="278" w:lineRule="auto"/>
        <w:contextualSpacing/>
        <w:jc w:val="both"/>
      </w:pPr>
      <w:r w:rsidRPr="001127FD">
        <w:t xml:space="preserve">The amount of past data the classifier must incorporate into its predictions was determined to be at least 300ms. This is based on a study demonstrating the efficacy of an invasive brain-spine interface for restoration of gait in primates </w:t>
      </w:r>
      <w:r w:rsidR="002E2EC0">
        <w:fldChar w:fldCharType="begin"/>
      </w:r>
      <w:r w:rsidR="002E2EC0">
        <w:instrText xml:space="preserve"> ADDIN ZOTERO_ITEM CSL_CITATION {"citationID":"43i93MWf","properties":{"formattedCitation":"(2)","plainCitation":"(2)","noteIndex":0},"citationItems":[{"id":58,"uris":["http://zotero.org/users/12936483/items/U87Q5VPU"],"itemData":{"id":58,"type":"article-journal","container-title":"Nature","DOI":"10.1038/nature20118","ISSN":"0028-0836, 1476-4687","issue":"7628","journalAbbreviation":"Nature","language":"en","page":"284-288","source":"DOI.org (Crossref)","title":"A brain–spine interface alleviating gait deficits after spinal cord injury in primates","volume":"539","author":[{"family":"Capogrosso","given":"Marco"},{"family":"Milekovic","given":"Tomislav"},{"family":"Borton","given":"David"},{"family":"Wagner","given":"Fabien"},{"family":"Moraud","given":"Eduardo Martin"},{"family":"Mignardot","given":"Jean-Baptiste"},{"family":"Buse","given":"Nicolas"},{"family":"Gandar","given":"Jerome"},{"family":"Barraud","given":"Quentin"},{"family":"Xing","given":"David"},{"family":"Rey","given":"Elodie"},{"family":"Duis","given":"Simone"},{"family":"Jianzhong","given":"Yang"},{"family":"Ko","given":"Wai Kin D."},{"family":"Li","given":"Qin"},{"family":"Detemple","given":"Peter"},{"family":"Denison","given":"Tim"},{"family":"Micera","given":"Silvestro"},{"family":"Bezard","given":"Erwan"},{"family":"Bloch","given":"Jocelyne"},{"family":"Courtine","given":"Grégoire"}],"issued":{"date-parts":[["2016",11]]}}}],"schema":"https://github.com/citation-style-language/schema/raw/master/csl-citation.json"} </w:instrText>
      </w:r>
      <w:r w:rsidR="002E2EC0">
        <w:fldChar w:fldCharType="separate"/>
      </w:r>
      <w:r w:rsidR="002E2EC0" w:rsidRPr="002E2EC0">
        <w:t>(2)</w:t>
      </w:r>
      <w:r w:rsidR="002E2EC0">
        <w:fldChar w:fldCharType="end"/>
      </w:r>
      <w:r w:rsidRPr="001127FD">
        <w:t>. This constraint can be written as:</w:t>
      </w:r>
    </w:p>
    <w:p w14:paraId="3C81293F" w14:textId="77777777" w:rsidR="004E155E" w:rsidRPr="001127FD" w:rsidRDefault="008E3C46" w:rsidP="004E155E">
      <w:pPr>
        <w:ind w:left="720"/>
        <w:contextualSpacing/>
        <w:jc w:val="both"/>
        <w:rPr>
          <w:rFonts w:eastAsia="Times New Roman"/>
        </w:rPr>
      </w:pPr>
      <m:oMathPara>
        <m:oMath>
          <m:sSub>
            <m:sSubPr>
              <m:ctrlPr>
                <w:rPr>
                  <w:rFonts w:ascii="Cambria Math" w:hAnsi="Cambria Math"/>
                  <w:i/>
                  <w:lang w:bidi="he-IL"/>
                </w:rPr>
              </m:ctrlPr>
            </m:sSubPr>
            <m:e>
              <m:r>
                <w:rPr>
                  <w:rFonts w:ascii="Cambria Math" w:hAnsi="Cambria Math"/>
                </w:rPr>
                <m:t>N</m:t>
              </m:r>
            </m:e>
            <m:sub>
              <m:r>
                <w:rPr>
                  <w:rFonts w:ascii="Cambria Math" w:hAnsi="Cambria Math"/>
                </w:rPr>
                <m:t>lags</m:t>
              </m:r>
            </m:sub>
          </m:sSub>
          <m:r>
            <w:rPr>
              <w:rFonts w:ascii="Cambria Math" w:hAnsi="Cambria Math"/>
            </w:rPr>
            <m:t xml:space="preserve"> </m:t>
          </m:r>
          <m:sSub>
            <m:sSubPr>
              <m:ctrlPr>
                <w:rPr>
                  <w:rFonts w:ascii="Cambria Math" w:hAnsi="Cambria Math"/>
                  <w:i/>
                  <w:lang w:bidi="he-IL"/>
                </w:rPr>
              </m:ctrlPr>
            </m:sSubPr>
            <m:e>
              <m:r>
                <w:rPr>
                  <w:rFonts w:ascii="Cambria Math" w:hAnsi="Cambria Math"/>
                </w:rPr>
                <m:t>T</m:t>
              </m:r>
            </m:e>
            <m:sub>
              <m:r>
                <w:rPr>
                  <w:rFonts w:ascii="Cambria Math" w:hAnsi="Cambria Math"/>
                </w:rPr>
                <m:t>window</m:t>
              </m:r>
            </m:sub>
          </m:sSub>
          <m:r>
            <w:rPr>
              <w:rFonts w:ascii="Cambria Math" w:hAnsi="Cambria Math"/>
            </w:rPr>
            <m:t xml:space="preserve"> ≥ </m:t>
          </m:r>
          <m:sSub>
            <m:sSubPr>
              <m:ctrlPr>
                <w:rPr>
                  <w:rFonts w:ascii="Cambria Math" w:hAnsi="Cambria Math"/>
                  <w:i/>
                  <w:lang w:bidi="he-IL"/>
                </w:rPr>
              </m:ctrlPr>
            </m:sSubPr>
            <m:e>
              <m:r>
                <w:rPr>
                  <w:rFonts w:ascii="Cambria Math" w:hAnsi="Cambria Math"/>
                </w:rPr>
                <m:t>T</m:t>
              </m:r>
            </m:e>
            <m:sub>
              <m:r>
                <w:rPr>
                  <w:rFonts w:ascii="Cambria Math" w:hAnsi="Cambria Math"/>
                </w:rPr>
                <m:t>h</m:t>
              </m:r>
              <m:r>
                <w:rPr>
                  <w:rFonts w:ascii="Cambria Math" w:hAnsi="Cambria Math"/>
                </w:rPr>
                <m:t>istory</m:t>
              </m:r>
            </m:sub>
          </m:sSub>
          <m:r>
            <w:rPr>
              <w:rFonts w:ascii="Cambria Math" w:hAnsi="Cambria Math"/>
            </w:rPr>
            <m:t>= 300</m:t>
          </m:r>
          <m:r>
            <w:rPr>
              <w:rFonts w:ascii="Cambria Math" w:hAnsi="Cambria Math"/>
            </w:rPr>
            <m:t>ms</m:t>
          </m:r>
          <m:r>
            <w:rPr>
              <w:rFonts w:ascii="Cambria Math" w:hAnsi="Cambria Math"/>
            </w:rPr>
            <m:t>=0.3</m:t>
          </m:r>
          <m:r>
            <w:rPr>
              <w:rFonts w:ascii="Cambria Math" w:hAnsi="Cambria Math"/>
            </w:rPr>
            <m:t>s</m:t>
          </m:r>
          <m:r>
            <w:rPr>
              <w:rFonts w:ascii="Cambria Math" w:hAnsi="Cambria Math"/>
              <w:color w:val="C00000"/>
            </w:rPr>
            <m:t xml:space="preserve"> </m:t>
          </m:r>
        </m:oMath>
      </m:oMathPara>
    </w:p>
    <w:p w14:paraId="42183B44" w14:textId="77777777" w:rsidR="004E155E" w:rsidRPr="001127FD" w:rsidRDefault="004E155E" w:rsidP="004E155E">
      <w:pPr>
        <w:ind w:left="720"/>
        <w:contextualSpacing/>
        <w:jc w:val="both"/>
      </w:pPr>
    </w:p>
    <w:p w14:paraId="36A67054" w14:textId="77777777" w:rsidR="004E155E" w:rsidRPr="001127FD" w:rsidRDefault="004E155E" w:rsidP="004E155E">
      <w:pPr>
        <w:jc w:val="both"/>
      </w:pPr>
      <w:r w:rsidRPr="001127FD">
        <w:t>Overall, these four constraints can be written as follows in terms of session design parameters and classifier design:</w:t>
      </w:r>
    </w:p>
    <w:p w14:paraId="2A300B14" w14:textId="77777777" w:rsidR="004E155E" w:rsidRPr="001127FD" w:rsidRDefault="008E3C46" w:rsidP="004E155E">
      <w:pPr>
        <w:numPr>
          <w:ilvl w:val="0"/>
          <w:numId w:val="2"/>
        </w:numPr>
        <w:spacing w:after="160" w:line="278" w:lineRule="auto"/>
        <w:contextualSpacing/>
        <w:jc w:val="both"/>
        <w:rPr>
          <w:rFonts w:ascii="Cambria Math" w:hAnsi="Cambria Math"/>
          <w:oMath/>
        </w:rPr>
      </w:pPr>
      <m:oMath>
        <m:sSub>
          <m:sSubPr>
            <m:ctrlPr>
              <w:rPr>
                <w:rFonts w:ascii="Cambria Math" w:hAnsi="Cambria Math"/>
                <w:i/>
              </w:rPr>
            </m:ctrlPr>
          </m:sSubPr>
          <m:e>
            <m:r>
              <w:rPr>
                <w:rFonts w:ascii="Cambria Math" w:hAnsi="Cambria Math"/>
              </w:rPr>
              <m:t>N</m:t>
            </m:r>
          </m:e>
          <m:sub>
            <m:r>
              <w:rPr>
                <w:rFonts w:ascii="Cambria Math" w:hAnsi="Cambria Math"/>
              </w:rPr>
              <m:t>conditions</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rest</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focus</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move</m:t>
                </m:r>
              </m:sub>
            </m:sSub>
          </m:e>
        </m:d>
        <m:sSub>
          <m:sSubPr>
            <m:ctrlPr>
              <w:rPr>
                <w:rFonts w:ascii="Cambria Math" w:hAnsi="Cambria Math"/>
                <w:i/>
              </w:rPr>
            </m:ctrlPr>
          </m:sSubPr>
          <m:e>
            <m:r>
              <w:rPr>
                <w:rFonts w:ascii="Cambria Math" w:hAnsi="Cambria Math"/>
              </w:rPr>
              <m:t>N</m:t>
            </m:r>
          </m:e>
          <m:sub>
            <m:r>
              <w:rPr>
                <w:rFonts w:ascii="Cambria Math" w:hAnsi="Cambria Math"/>
              </w:rPr>
              <m:t>trials</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blocks</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max</m:t>
            </m:r>
            <m:r>
              <w:rPr>
                <w:rFonts w:ascii="Cambria Math" w:hAnsi="Cambria Math"/>
              </w:rPr>
              <m:t>,</m:t>
            </m:r>
            <m:r>
              <w:rPr>
                <w:rFonts w:ascii="Cambria Math" w:hAnsi="Cambria Math"/>
              </w:rPr>
              <m:t>session</m:t>
            </m:r>
          </m:sub>
        </m:sSub>
      </m:oMath>
    </w:p>
    <w:p w14:paraId="1025B976" w14:textId="77777777" w:rsidR="004E155E" w:rsidRPr="001127FD" w:rsidRDefault="004E155E" w:rsidP="004E155E">
      <w:pPr>
        <w:numPr>
          <w:ilvl w:val="0"/>
          <w:numId w:val="2"/>
        </w:numPr>
        <w:spacing w:after="160" w:line="278" w:lineRule="auto"/>
        <w:contextualSpacing/>
        <w:jc w:val="both"/>
        <w:rPr>
          <w:rFonts w:eastAsia="Times New Roman"/>
        </w:rPr>
      </w:p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move</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min,  knee</m:t>
            </m:r>
          </m:sub>
        </m:sSub>
      </m:oMath>
    </w:p>
    <w:p w14:paraId="1248AA61" w14:textId="77777777" w:rsidR="004E155E" w:rsidRPr="001127FD" w:rsidRDefault="008E3C46" w:rsidP="004E155E">
      <w:pPr>
        <w:numPr>
          <w:ilvl w:val="0"/>
          <w:numId w:val="2"/>
        </w:numPr>
        <w:spacing w:after="160" w:line="278" w:lineRule="auto"/>
        <w:contextualSpacing/>
        <w:jc w:val="both"/>
      </w:pPr>
      <m:oMath>
        <m:f>
          <m:fPr>
            <m:ctrlPr>
              <w:rPr>
                <w:rFonts w:ascii="Cambria Math" w:hAnsi="Cambria Math"/>
                <w:i/>
                <w:lang w:bidi="he-IL"/>
              </w:rPr>
            </m:ctrlPr>
          </m:fPr>
          <m:num>
            <m:d>
              <m:dPr>
                <m:ctrlPr>
                  <w:rPr>
                    <w:rFonts w:ascii="Cambria Math" w:hAnsi="Cambria Math"/>
                    <w:i/>
                    <w:lang w:bidi="he-IL"/>
                  </w:rPr>
                </m:ctrlPr>
              </m:dPr>
              <m:e>
                <m:sSub>
                  <m:sSubPr>
                    <m:ctrlPr>
                      <w:rPr>
                        <w:rFonts w:ascii="Cambria Math" w:hAnsi="Cambria Math"/>
                        <w:i/>
                        <w:lang w:bidi="he-IL"/>
                      </w:rPr>
                    </m:ctrlPr>
                  </m:sSubPr>
                  <m:e>
                    <m:sSub>
                      <m:sSubPr>
                        <m:ctrlPr>
                          <w:rPr>
                            <w:rFonts w:ascii="Cambria Math" w:hAnsi="Cambria Math"/>
                            <w:i/>
                            <w:lang w:bidi="he-IL"/>
                          </w:rPr>
                        </m:ctrlPr>
                      </m:sSubPr>
                      <m:e>
                        <m:r>
                          <w:rPr>
                            <w:rFonts w:ascii="Cambria Math" w:hAnsi="Cambria Math"/>
                          </w:rPr>
                          <m:t>T</m:t>
                        </m:r>
                      </m:e>
                      <m:sub>
                        <m:r>
                          <w:rPr>
                            <w:rFonts w:ascii="Cambria Math" w:hAnsi="Cambria Math"/>
                          </w:rPr>
                          <m:t>rest</m:t>
                        </m:r>
                      </m:sub>
                    </m:sSub>
                    <m:r>
                      <w:rPr>
                        <w:rFonts w:ascii="Cambria Math" w:hAnsi="Cambria Math"/>
                      </w:rPr>
                      <m:t xml:space="preserve">+ </m:t>
                    </m:r>
                    <m:r>
                      <w:rPr>
                        <w:rFonts w:ascii="Cambria Math" w:hAnsi="Cambria Math"/>
                      </w:rPr>
                      <m:t>T</m:t>
                    </m:r>
                  </m:e>
                  <m:sub>
                    <m:r>
                      <w:rPr>
                        <w:rFonts w:ascii="Cambria Math" w:hAnsi="Cambria Math"/>
                      </w:rPr>
                      <m:t>focus</m:t>
                    </m:r>
                  </m:sub>
                </m:sSub>
                <m:r>
                  <w:rPr>
                    <w:rFonts w:ascii="Cambria Math" w:hAnsi="Cambria Math"/>
                  </w:rPr>
                  <m:t xml:space="preserve"> + </m:t>
                </m:r>
                <m:sSub>
                  <m:sSubPr>
                    <m:ctrlPr>
                      <w:rPr>
                        <w:rFonts w:ascii="Cambria Math" w:hAnsi="Cambria Math"/>
                        <w:i/>
                        <w:lang w:bidi="he-IL"/>
                      </w:rPr>
                    </m:ctrlPr>
                  </m:sSubPr>
                  <m:e>
                    <m:r>
                      <w:rPr>
                        <w:rFonts w:ascii="Cambria Math" w:hAnsi="Cambria Math"/>
                      </w:rPr>
                      <m:t>T</m:t>
                    </m:r>
                  </m:e>
                  <m:sub>
                    <m:r>
                      <w:rPr>
                        <w:rFonts w:ascii="Cambria Math" w:hAnsi="Cambria Math"/>
                      </w:rPr>
                      <m:t>move</m:t>
                    </m:r>
                  </m:sub>
                </m:sSub>
              </m:e>
            </m:d>
            <m:sSub>
              <m:sSubPr>
                <m:ctrlPr>
                  <w:rPr>
                    <w:rFonts w:ascii="Cambria Math" w:hAnsi="Cambria Math"/>
                    <w:i/>
                    <w:lang w:bidi="he-IL"/>
                  </w:rPr>
                </m:ctrlPr>
              </m:sSubPr>
              <m:e>
                <m:r>
                  <w:rPr>
                    <w:rFonts w:ascii="Cambria Math" w:hAnsi="Cambria Math"/>
                  </w:rPr>
                  <m:t>N</m:t>
                </m:r>
              </m:e>
              <m:sub>
                <m:r>
                  <w:rPr>
                    <w:rFonts w:ascii="Cambria Math" w:hAnsi="Cambria Math"/>
                  </w:rPr>
                  <m:t>trials</m:t>
                </m:r>
              </m:sub>
            </m:sSub>
            <m:d>
              <m:dPr>
                <m:ctrlPr>
                  <w:rPr>
                    <w:rFonts w:ascii="Cambria Math" w:hAnsi="Cambria Math"/>
                    <w:i/>
                    <w:lang w:bidi="he-IL"/>
                  </w:rPr>
                </m:ctrlPr>
              </m:dPr>
              <m:e>
                <m:sSub>
                  <m:sSubPr>
                    <m:ctrlPr>
                      <w:rPr>
                        <w:rFonts w:ascii="Cambria Math" w:hAnsi="Cambria Math"/>
                        <w:i/>
                        <w:lang w:bidi="he-IL"/>
                      </w:rPr>
                    </m:ctrlPr>
                  </m:sSubPr>
                  <m:e>
                    <m:r>
                      <w:rPr>
                        <w:rFonts w:ascii="Cambria Math" w:hAnsi="Cambria Math"/>
                      </w:rPr>
                      <m:t>N</m:t>
                    </m:r>
                  </m:e>
                  <m:sub>
                    <m:r>
                      <w:rPr>
                        <w:rFonts w:ascii="Cambria Math" w:hAnsi="Cambria Math"/>
                      </w:rPr>
                      <m:t>blocks</m:t>
                    </m:r>
                  </m:sub>
                </m:sSub>
                <m:r>
                  <w:rPr>
                    <w:rFonts w:ascii="Cambria Math" w:hAnsi="Cambria Math"/>
                  </w:rPr>
                  <m:t xml:space="preserve"> - 1</m:t>
                </m:r>
              </m:e>
            </m:d>
          </m:num>
          <m:den>
            <m:sSub>
              <m:sSubPr>
                <m:ctrlPr>
                  <w:rPr>
                    <w:rFonts w:ascii="Cambria Math" w:hAnsi="Cambria Math"/>
                    <w:i/>
                    <w:lang w:bidi="he-IL"/>
                  </w:rPr>
                </m:ctrlPr>
              </m:sSubPr>
              <m:e>
                <m:r>
                  <w:rPr>
                    <w:rFonts w:ascii="Cambria Math" w:hAnsi="Cambria Math"/>
                  </w:rPr>
                  <m:t>T</m:t>
                </m:r>
              </m:e>
              <m:sub>
                <m:r>
                  <w:rPr>
                    <w:rFonts w:ascii="Cambria Math" w:hAnsi="Cambria Math"/>
                  </w:rPr>
                  <m:t>window</m:t>
                </m:r>
                <m:r>
                  <w:rPr>
                    <w:rFonts w:ascii="Cambria Math" w:hAnsi="Cambria Math"/>
                  </w:rPr>
                  <m:t xml:space="preserve"> </m:t>
                </m:r>
              </m:sub>
            </m:sSub>
            <m:r>
              <w:rPr>
                <w:rFonts w:ascii="Cambria Math" w:hAnsi="Cambria Math"/>
              </w:rPr>
              <m:t xml:space="preserve"> </m:t>
            </m:r>
            <m:sSub>
              <m:sSubPr>
                <m:ctrlPr>
                  <w:rPr>
                    <w:rFonts w:ascii="Cambria Math" w:hAnsi="Cambria Math"/>
                    <w:i/>
                    <w:lang w:bidi="he-IL"/>
                  </w:rPr>
                </m:ctrlPr>
              </m:sSubPr>
              <m:e>
                <m:r>
                  <w:rPr>
                    <w:rFonts w:ascii="Cambria Math" w:hAnsi="Cambria Math"/>
                  </w:rPr>
                  <m:t>N</m:t>
                </m:r>
              </m:e>
              <m:sub>
                <m:r>
                  <w:rPr>
                    <w:rFonts w:ascii="Cambria Math" w:hAnsi="Cambria Math"/>
                  </w:rPr>
                  <m:t>freq</m:t>
                </m:r>
              </m:sub>
            </m:sSub>
            <m:r>
              <w:rPr>
                <w:rFonts w:ascii="Cambria Math" w:hAnsi="Cambria Math"/>
              </w:rPr>
              <m:t xml:space="preserve"> </m:t>
            </m:r>
            <m:sSub>
              <m:sSubPr>
                <m:ctrlPr>
                  <w:rPr>
                    <w:rFonts w:ascii="Cambria Math" w:hAnsi="Cambria Math"/>
                    <w:i/>
                    <w:lang w:bidi="he-IL"/>
                  </w:rPr>
                </m:ctrlPr>
              </m:sSubPr>
              <m:e>
                <m:r>
                  <w:rPr>
                    <w:rFonts w:ascii="Cambria Math" w:hAnsi="Cambria Math"/>
                  </w:rPr>
                  <m:t>N</m:t>
                </m:r>
              </m:e>
              <m:sub>
                <m:r>
                  <w:rPr>
                    <w:rFonts w:ascii="Cambria Math" w:hAnsi="Cambria Math"/>
                  </w:rPr>
                  <m:t>elec</m:t>
                </m:r>
                <m:r>
                  <w:rPr>
                    <w:rFonts w:ascii="Cambria Math" w:hAnsi="Cambria Math"/>
                  </w:rPr>
                  <m:t xml:space="preserve"> </m:t>
                </m:r>
              </m:sub>
            </m:sSub>
            <m:sSub>
              <m:sSubPr>
                <m:ctrlPr>
                  <w:rPr>
                    <w:rFonts w:ascii="Cambria Math" w:hAnsi="Cambria Math"/>
                    <w:i/>
                    <w:lang w:bidi="he-IL"/>
                  </w:rPr>
                </m:ctrlPr>
              </m:sSubPr>
              <m:e>
                <m:r>
                  <w:rPr>
                    <w:rFonts w:ascii="Cambria Math" w:hAnsi="Cambria Math"/>
                  </w:rPr>
                  <m:t>N</m:t>
                </m:r>
              </m:e>
              <m:sub>
                <m:r>
                  <w:rPr>
                    <w:rFonts w:ascii="Cambria Math" w:hAnsi="Cambria Math"/>
                  </w:rPr>
                  <m:t>lags</m:t>
                </m:r>
              </m:sub>
            </m:sSub>
          </m:den>
        </m:f>
        <m:r>
          <w:rPr>
            <w:rFonts w:ascii="Cambria Math" w:hAnsi="Cambria Math"/>
          </w:rPr>
          <m:t>≥10</m:t>
        </m:r>
      </m:oMath>
    </w:p>
    <w:p w14:paraId="08BCFBCC" w14:textId="77777777" w:rsidR="004E155E" w:rsidRPr="001127FD" w:rsidRDefault="008E3C46" w:rsidP="004E155E">
      <w:pPr>
        <w:numPr>
          <w:ilvl w:val="0"/>
          <w:numId w:val="2"/>
        </w:numPr>
        <w:spacing w:after="160" w:line="278" w:lineRule="auto"/>
        <w:contextualSpacing/>
        <w:jc w:val="both"/>
      </w:pPr>
      <m:oMath>
        <m:sSub>
          <m:sSubPr>
            <m:ctrlPr>
              <w:rPr>
                <w:rFonts w:ascii="Cambria Math" w:hAnsi="Cambria Math"/>
                <w:i/>
                <w:lang w:bidi="he-IL"/>
              </w:rPr>
            </m:ctrlPr>
          </m:sSubPr>
          <m:e>
            <m:r>
              <w:rPr>
                <w:rFonts w:ascii="Cambria Math" w:hAnsi="Cambria Math"/>
              </w:rPr>
              <m:t>N</m:t>
            </m:r>
          </m:e>
          <m:sub>
            <m:r>
              <w:rPr>
                <w:rFonts w:ascii="Cambria Math" w:hAnsi="Cambria Math"/>
              </w:rPr>
              <m:t>lags</m:t>
            </m:r>
          </m:sub>
        </m:sSub>
        <m:r>
          <w:rPr>
            <w:rFonts w:ascii="Cambria Math" w:hAnsi="Cambria Math"/>
          </w:rPr>
          <m:t xml:space="preserve"> </m:t>
        </m:r>
        <m:sSub>
          <m:sSubPr>
            <m:ctrlPr>
              <w:rPr>
                <w:rFonts w:ascii="Cambria Math" w:hAnsi="Cambria Math"/>
                <w:i/>
                <w:lang w:bidi="he-IL"/>
              </w:rPr>
            </m:ctrlPr>
          </m:sSubPr>
          <m:e>
            <m:r>
              <w:rPr>
                <w:rFonts w:ascii="Cambria Math" w:hAnsi="Cambria Math"/>
              </w:rPr>
              <m:t>T</m:t>
            </m:r>
          </m:e>
          <m:sub>
            <m:r>
              <w:rPr>
                <w:rFonts w:ascii="Cambria Math" w:hAnsi="Cambria Math"/>
              </w:rPr>
              <m:t>window</m:t>
            </m:r>
          </m:sub>
        </m:sSub>
        <m:r>
          <w:rPr>
            <w:rFonts w:ascii="Cambria Math" w:hAnsi="Cambria Math"/>
          </w:rPr>
          <m:t xml:space="preserve"> ≥ </m:t>
        </m:r>
        <m:sSub>
          <m:sSubPr>
            <m:ctrlPr>
              <w:rPr>
                <w:rFonts w:ascii="Cambria Math" w:hAnsi="Cambria Math"/>
                <w:i/>
                <w:lang w:bidi="he-IL"/>
              </w:rPr>
            </m:ctrlPr>
          </m:sSubPr>
          <m:e>
            <m:r>
              <w:rPr>
                <w:rFonts w:ascii="Cambria Math" w:hAnsi="Cambria Math"/>
              </w:rPr>
              <m:t>T</m:t>
            </m:r>
          </m:e>
          <m:sub>
            <m:r>
              <w:rPr>
                <w:rFonts w:ascii="Cambria Math" w:hAnsi="Cambria Math"/>
              </w:rPr>
              <m:t>h</m:t>
            </m:r>
            <m:r>
              <w:rPr>
                <w:rFonts w:ascii="Cambria Math" w:hAnsi="Cambria Math"/>
              </w:rPr>
              <m:t>istory</m:t>
            </m:r>
          </m:sub>
        </m:sSub>
      </m:oMath>
    </w:p>
    <w:p w14:paraId="55146932" w14:textId="77777777" w:rsidR="004E155E" w:rsidRPr="001127FD" w:rsidRDefault="004E155E" w:rsidP="004E155E">
      <w:pPr>
        <w:jc w:val="both"/>
        <w:rPr>
          <w:rFonts w:eastAsia="Times New Roman"/>
        </w:rPr>
      </w:pPr>
      <w:r w:rsidRPr="001127FD">
        <w:rPr>
          <w:rFonts w:eastAsia="Times New Roman"/>
        </w:rPr>
        <w:t>In our design, we chose the following parameters:</w:t>
      </w:r>
    </w:p>
    <w:p w14:paraId="0B1483D3"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window</m:t>
              </m:r>
            </m:sub>
          </m:sSub>
          <m:r>
            <w:rPr>
              <w:rFonts w:ascii="Cambria Math" w:eastAsia="Times New Roman" w:hAnsi="Cambria Math"/>
            </w:rPr>
            <m:t xml:space="preserve"> = 0.1 </m:t>
          </m:r>
          <m:r>
            <w:rPr>
              <w:rFonts w:ascii="Cambria Math" w:eastAsia="Times New Roman" w:hAnsi="Cambria Math"/>
            </w:rPr>
            <m:t>s</m:t>
          </m:r>
          <m:r>
            <w:rPr>
              <w:rFonts w:ascii="Cambria Math" w:eastAsia="Times New Roman" w:hAnsi="Cambria Math"/>
            </w:rPr>
            <m:t>,</m:t>
          </m:r>
        </m:oMath>
      </m:oMathPara>
    </w:p>
    <w:p w14:paraId="2D11F545"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freq</m:t>
              </m:r>
            </m:sub>
          </m:sSub>
          <m:r>
            <w:rPr>
              <w:rFonts w:ascii="Cambria Math" w:eastAsia="Times New Roman" w:hAnsi="Cambria Math"/>
            </w:rPr>
            <m:t xml:space="preserve"> = 3, </m:t>
          </m:r>
        </m:oMath>
      </m:oMathPara>
    </w:p>
    <w:p w14:paraId="24FB13B6"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elec</m:t>
              </m:r>
            </m:sub>
          </m:sSub>
          <m:r>
            <w:rPr>
              <w:rFonts w:ascii="Cambria Math" w:eastAsia="Times New Roman" w:hAnsi="Cambria Math"/>
            </w:rPr>
            <m:t xml:space="preserve"> = 32,</m:t>
          </m:r>
        </m:oMath>
      </m:oMathPara>
    </w:p>
    <w:p w14:paraId="4F2FF712" w14:textId="77777777" w:rsidR="004E155E" w:rsidRPr="001127FD" w:rsidRDefault="004E155E" w:rsidP="004E155E">
      <w:pPr>
        <w:spacing w:line="278" w:lineRule="auto"/>
        <w:ind w:firstLine="720"/>
        <w:jc w:val="both"/>
        <w:rPr>
          <w:rFonts w:eastAsia="Times New Roman"/>
        </w:rPr>
      </w:pPr>
      <m:oMathPara>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lags</m:t>
              </m:r>
            </m:sub>
          </m:sSub>
          <m:r>
            <w:rPr>
              <w:rFonts w:ascii="Cambria Math" w:eastAsia="Times New Roman" w:hAnsi="Cambria Math"/>
            </w:rPr>
            <m:t xml:space="preserve"> = 5, </m:t>
          </m:r>
        </m:oMath>
      </m:oMathPara>
    </w:p>
    <w:p w14:paraId="7E265217"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rest</m:t>
              </m:r>
            </m:sub>
          </m:sSub>
          <m:r>
            <w:rPr>
              <w:rFonts w:ascii="Cambria Math" w:eastAsia="Times New Roman" w:hAnsi="Cambria Math"/>
            </w:rPr>
            <m:t xml:space="preserve"> = 2</m:t>
          </m:r>
          <m:r>
            <w:rPr>
              <w:rFonts w:ascii="Cambria Math" w:eastAsia="Times New Roman" w:hAnsi="Cambria Math"/>
            </w:rPr>
            <m:t>s</m:t>
          </m:r>
          <m:r>
            <w:rPr>
              <w:rFonts w:ascii="Cambria Math" w:eastAsia="Times New Roman" w:hAnsi="Cambria Math"/>
            </w:rPr>
            <m:t>,</m:t>
          </m:r>
        </m:oMath>
      </m:oMathPara>
    </w:p>
    <w:p w14:paraId="1F28336B" w14:textId="77777777" w:rsidR="004E155E" w:rsidRPr="001127FD" w:rsidRDefault="004E155E" w:rsidP="004E155E">
      <w:pPr>
        <w:spacing w:line="278" w:lineRule="auto"/>
        <w:ind w:firstLine="720"/>
        <w:jc w:val="both"/>
        <w:rPr>
          <w:rFonts w:eastAsia="Times New Roman"/>
        </w:rPr>
      </w:pPr>
      <m:oMathPara>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focus</m:t>
              </m:r>
            </m:sub>
          </m:sSub>
          <m:r>
            <w:rPr>
              <w:rFonts w:ascii="Cambria Math" w:eastAsia="Times New Roman" w:hAnsi="Cambria Math"/>
            </w:rPr>
            <m:t xml:space="preserve"> =2s,</m:t>
          </m:r>
        </m:oMath>
      </m:oMathPara>
    </w:p>
    <w:p w14:paraId="64495B79" w14:textId="77777777" w:rsidR="004E155E" w:rsidRPr="001127FD" w:rsidRDefault="004E155E" w:rsidP="004E155E">
      <w:pPr>
        <w:spacing w:line="278" w:lineRule="auto"/>
        <w:ind w:firstLine="720"/>
        <w:jc w:val="both"/>
        <w:rPr>
          <w:rFonts w:eastAsia="Times New Roman"/>
        </w:rPr>
      </w:pPr>
      <m:oMathPara>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move</m:t>
              </m:r>
            </m:sub>
          </m:sSub>
          <m:r>
            <w:rPr>
              <w:rFonts w:ascii="Cambria Math" w:eastAsia="Times New Roman" w:hAnsi="Cambria Math"/>
            </w:rPr>
            <m:t>= 6s,</m:t>
          </m:r>
        </m:oMath>
      </m:oMathPara>
    </w:p>
    <w:p w14:paraId="6D47155C" w14:textId="77777777" w:rsidR="004E155E" w:rsidRPr="001127FD" w:rsidRDefault="004E155E" w:rsidP="004E155E">
      <w:pPr>
        <w:spacing w:line="278" w:lineRule="auto"/>
        <w:ind w:firstLine="720"/>
        <w:jc w:val="both"/>
        <w:rPr>
          <w:rFonts w:eastAsia="Times New Roman"/>
        </w:rPr>
      </w:pPr>
      <m:oMathPara>
        <m:oMath>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trials</m:t>
              </m:r>
            </m:sub>
          </m:sSub>
          <m:r>
            <w:rPr>
              <w:rFonts w:ascii="Cambria Math" w:eastAsia="Times New Roman" w:hAnsi="Cambria Math"/>
            </w:rPr>
            <m:t xml:space="preserve"> = 10,</m:t>
          </m:r>
        </m:oMath>
      </m:oMathPara>
    </w:p>
    <w:p w14:paraId="5B0B538C"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blocks</m:t>
              </m:r>
            </m:sub>
          </m:sSub>
          <m:r>
            <w:rPr>
              <w:rFonts w:ascii="Cambria Math" w:eastAsia="Times New Roman" w:hAnsi="Cambria Math"/>
            </w:rPr>
            <m:t xml:space="preserve"> = </m:t>
          </m:r>
          <m:d>
            <m:dPr>
              <m:begChr m:val="{"/>
              <m:endChr m:val=""/>
              <m:ctrlPr>
                <w:rPr>
                  <w:rFonts w:ascii="Cambria Math" w:eastAsia="Times New Roman" w:hAnsi="Cambria Math"/>
                  <w:i/>
                </w:rPr>
              </m:ctrlPr>
            </m:dPr>
            <m:e>
              <m:eqArr>
                <m:eqArrPr>
                  <m:ctrlPr>
                    <w:rPr>
                      <w:rFonts w:ascii="Cambria Math" w:eastAsia="Times New Roman" w:hAnsi="Cambria Math"/>
                      <w:i/>
                    </w:rPr>
                  </m:ctrlPr>
                </m:eqArrPr>
                <m:e>
                  <m:r>
                    <w:rPr>
                      <w:rFonts w:ascii="Cambria Math" w:eastAsia="Times New Roman" w:hAnsi="Cambria Math"/>
                    </w:rPr>
                    <m:t xml:space="preserve">6   </m:t>
                  </m:r>
                  <m:r>
                    <w:rPr>
                      <w:rFonts w:ascii="Cambria Math" w:eastAsia="Times New Roman" w:hAnsi="Cambria Math"/>
                    </w:rPr>
                    <m:t>in</m:t>
                  </m:r>
                  <m:r>
                    <w:rPr>
                      <w:rFonts w:ascii="Cambria Math" w:eastAsia="Times New Roman" w:hAnsi="Cambria Math"/>
                    </w:rPr>
                    <m:t xml:space="preserve"> </m:t>
                  </m:r>
                  <m:r>
                    <w:rPr>
                      <w:rFonts w:ascii="Cambria Math" w:eastAsia="Times New Roman" w:hAnsi="Cambria Math"/>
                    </w:rPr>
                    <m:t>P</m:t>
                  </m:r>
                  <m:r>
                    <w:rPr>
                      <w:rFonts w:ascii="Cambria Math" w:eastAsia="Times New Roman" w:hAnsi="Cambria Math"/>
                    </w:rPr>
                    <m:t>h</m:t>
                  </m:r>
                  <m:r>
                    <w:rPr>
                      <w:rFonts w:ascii="Cambria Math" w:eastAsia="Times New Roman" w:hAnsi="Cambria Math"/>
                    </w:rPr>
                    <m:t>ase</m:t>
                  </m:r>
                  <m:r>
                    <w:rPr>
                      <w:rFonts w:ascii="Cambria Math" w:eastAsia="Times New Roman" w:hAnsi="Cambria Math"/>
                    </w:rPr>
                    <m:t xml:space="preserve"> </m:t>
                  </m:r>
                  <m:r>
                    <w:rPr>
                      <w:rFonts w:ascii="Cambria Math" w:eastAsia="Times New Roman" w:hAnsi="Cambria Math"/>
                    </w:rPr>
                    <m:t>I</m:t>
                  </m:r>
                </m:e>
                <m:e>
                  <m:r>
                    <w:rPr>
                      <w:rFonts w:ascii="Cambria Math" w:eastAsia="Times New Roman" w:hAnsi="Cambria Math"/>
                    </w:rPr>
                    <m:t xml:space="preserve">12   </m:t>
                  </m:r>
                  <m:r>
                    <w:rPr>
                      <w:rFonts w:ascii="Cambria Math" w:eastAsia="Times New Roman" w:hAnsi="Cambria Math"/>
                    </w:rPr>
                    <m:t>in</m:t>
                  </m:r>
                  <m:r>
                    <w:rPr>
                      <w:rFonts w:ascii="Cambria Math" w:eastAsia="Times New Roman" w:hAnsi="Cambria Math"/>
                    </w:rPr>
                    <m:t xml:space="preserve"> </m:t>
                  </m:r>
                  <m:r>
                    <w:rPr>
                      <w:rFonts w:ascii="Cambria Math" w:eastAsia="Times New Roman" w:hAnsi="Cambria Math"/>
                    </w:rPr>
                    <m:t>P</m:t>
                  </m:r>
                  <m:r>
                    <w:rPr>
                      <w:rFonts w:ascii="Cambria Math" w:eastAsia="Times New Roman" w:hAnsi="Cambria Math"/>
                    </w:rPr>
                    <m:t>h</m:t>
                  </m:r>
                  <m:r>
                    <w:rPr>
                      <w:rFonts w:ascii="Cambria Math" w:eastAsia="Times New Roman" w:hAnsi="Cambria Math"/>
                    </w:rPr>
                    <m:t>ase</m:t>
                  </m:r>
                  <m:r>
                    <w:rPr>
                      <w:rFonts w:ascii="Cambria Math" w:eastAsia="Times New Roman" w:hAnsi="Cambria Math"/>
                    </w:rPr>
                    <m:t xml:space="preserve"> </m:t>
                  </m:r>
                  <m:r>
                    <w:rPr>
                      <w:rFonts w:ascii="Cambria Math" w:eastAsia="Times New Roman" w:hAnsi="Cambria Math"/>
                    </w:rPr>
                    <m:t>II</m:t>
                  </m:r>
                </m:e>
              </m:eqArr>
            </m:e>
          </m:d>
        </m:oMath>
      </m:oMathPara>
    </w:p>
    <w:p w14:paraId="5C90F5B4" w14:textId="77777777" w:rsidR="004E155E" w:rsidRPr="001127FD" w:rsidRDefault="008E3C46" w:rsidP="004E155E">
      <w:pPr>
        <w:spacing w:line="278" w:lineRule="auto"/>
        <w:ind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conditions</m:t>
              </m:r>
            </m:sub>
          </m:sSub>
          <m:r>
            <w:rPr>
              <w:rFonts w:ascii="Cambria Math" w:eastAsia="Times New Roman" w:hAnsi="Cambria Math"/>
            </w:rPr>
            <m:t>=</m:t>
          </m:r>
          <m:d>
            <m:dPr>
              <m:begChr m:val="{"/>
              <m:endChr m:val=""/>
              <m:ctrlPr>
                <w:rPr>
                  <w:rFonts w:ascii="Cambria Math" w:eastAsia="Times New Roman" w:hAnsi="Cambria Math"/>
                  <w:i/>
                </w:rPr>
              </m:ctrlPr>
            </m:dPr>
            <m:e>
              <m:eqArr>
                <m:eqArrPr>
                  <m:ctrlPr>
                    <w:rPr>
                      <w:rFonts w:ascii="Cambria Math" w:eastAsia="Times New Roman" w:hAnsi="Cambria Math"/>
                      <w:i/>
                    </w:rPr>
                  </m:ctrlPr>
                </m:eqArrPr>
                <m:e>
                  <m:r>
                    <w:rPr>
                      <w:rFonts w:ascii="Cambria Math" w:eastAsia="Times New Roman" w:hAnsi="Cambria Math"/>
                    </w:rPr>
                    <m:t xml:space="preserve">3    </m:t>
                  </m:r>
                  <m:r>
                    <w:rPr>
                      <w:rFonts w:ascii="Cambria Math" w:eastAsia="Times New Roman" w:hAnsi="Cambria Math"/>
                    </w:rPr>
                    <m:t>in</m:t>
                  </m:r>
                  <m:r>
                    <w:rPr>
                      <w:rFonts w:ascii="Cambria Math" w:eastAsia="Times New Roman" w:hAnsi="Cambria Math"/>
                    </w:rPr>
                    <m:t xml:space="preserve"> </m:t>
                  </m:r>
                  <m:r>
                    <w:rPr>
                      <w:rFonts w:ascii="Cambria Math" w:eastAsia="Times New Roman" w:hAnsi="Cambria Math"/>
                    </w:rPr>
                    <m:t>P</m:t>
                  </m:r>
                  <m:r>
                    <w:rPr>
                      <w:rFonts w:ascii="Cambria Math" w:eastAsia="Times New Roman" w:hAnsi="Cambria Math"/>
                    </w:rPr>
                    <m:t>h</m:t>
                  </m:r>
                  <m:r>
                    <w:rPr>
                      <w:rFonts w:ascii="Cambria Math" w:eastAsia="Times New Roman" w:hAnsi="Cambria Math"/>
                    </w:rPr>
                    <m:t>ase</m:t>
                  </m:r>
                  <m:r>
                    <w:rPr>
                      <w:rFonts w:ascii="Cambria Math" w:eastAsia="Times New Roman" w:hAnsi="Cambria Math"/>
                    </w:rPr>
                    <m:t xml:space="preserve"> </m:t>
                  </m:r>
                  <m:r>
                    <w:rPr>
                      <w:rFonts w:ascii="Cambria Math" w:eastAsia="Times New Roman" w:hAnsi="Cambria Math"/>
                    </w:rPr>
                    <m:t>I</m:t>
                  </m:r>
                </m:e>
                <m:e>
                  <m:r>
                    <w:rPr>
                      <w:rFonts w:ascii="Cambria Math" w:eastAsia="Times New Roman" w:hAnsi="Cambria Math"/>
                    </w:rPr>
                    <m:t xml:space="preserve"> 2   </m:t>
                  </m:r>
                  <m:r>
                    <w:rPr>
                      <w:rFonts w:ascii="Cambria Math" w:eastAsia="Times New Roman" w:hAnsi="Cambria Math"/>
                    </w:rPr>
                    <m:t>in</m:t>
                  </m:r>
                  <m:r>
                    <w:rPr>
                      <w:rFonts w:ascii="Cambria Math" w:eastAsia="Times New Roman" w:hAnsi="Cambria Math"/>
                    </w:rPr>
                    <m:t xml:space="preserve"> </m:t>
                  </m:r>
                  <m:r>
                    <w:rPr>
                      <w:rFonts w:ascii="Cambria Math" w:eastAsia="Times New Roman" w:hAnsi="Cambria Math"/>
                    </w:rPr>
                    <m:t>P</m:t>
                  </m:r>
                  <m:r>
                    <w:rPr>
                      <w:rFonts w:ascii="Cambria Math" w:eastAsia="Times New Roman" w:hAnsi="Cambria Math"/>
                    </w:rPr>
                    <m:t>h</m:t>
                  </m:r>
                  <m:r>
                    <w:rPr>
                      <w:rFonts w:ascii="Cambria Math" w:eastAsia="Times New Roman" w:hAnsi="Cambria Math"/>
                    </w:rPr>
                    <m:t>ase</m:t>
                  </m:r>
                  <m:r>
                    <w:rPr>
                      <w:rFonts w:ascii="Cambria Math" w:eastAsia="Times New Roman" w:hAnsi="Cambria Math"/>
                    </w:rPr>
                    <m:t xml:space="preserve"> </m:t>
                  </m:r>
                  <m:r>
                    <w:rPr>
                      <w:rFonts w:ascii="Cambria Math" w:eastAsia="Times New Roman" w:hAnsi="Cambria Math"/>
                    </w:rPr>
                    <m:t>II</m:t>
                  </m:r>
                </m:e>
              </m:eqArr>
            </m:e>
          </m:d>
        </m:oMath>
      </m:oMathPara>
    </w:p>
    <w:p w14:paraId="402EDE0C" w14:textId="77777777" w:rsidR="004E155E" w:rsidRPr="001127FD" w:rsidRDefault="004E155E" w:rsidP="004E155E">
      <w:pPr>
        <w:ind w:firstLine="720"/>
        <w:jc w:val="both"/>
      </w:pPr>
      <w:bookmarkStart w:id="0" w:name="_Hlk187316711"/>
    </w:p>
    <w:p w14:paraId="61093C29" w14:textId="46F6340C" w:rsidR="004E155E" w:rsidRPr="001127FD" w:rsidRDefault="004E155E" w:rsidP="004E155E">
      <w:pPr>
        <w:ind w:firstLine="720"/>
        <w:rPr>
          <w:rFonts w:eastAsia="Times New Roman"/>
        </w:rPr>
      </w:pPr>
      <w:bookmarkStart w:id="1" w:name="_Hlk188526454"/>
      <w:r w:rsidRPr="001127FD">
        <w:t>T</w:t>
      </w:r>
      <w:r w:rsidRPr="001127FD">
        <w:rPr>
          <w:rFonts w:eastAsia="Times New Roman"/>
        </w:rPr>
        <w:t>his leads to a</w:t>
      </w:r>
      <w:r>
        <w:rPr>
          <w:rFonts w:eastAsia="Times New Roman"/>
        </w:rPr>
        <w:t xml:space="preserve"> </w:t>
      </w:r>
      <w:proofErr w:type="spellStart"/>
      <w:r w:rsidRPr="001127FD">
        <w:rPr>
          <w:rFonts w:eastAsia="Times New Roman"/>
        </w:rPr>
        <w:t>T</w:t>
      </w:r>
      <w:r w:rsidRPr="001127FD">
        <w:rPr>
          <w:rFonts w:eastAsia="Times New Roman"/>
          <w:vertAlign w:val="subscript"/>
        </w:rPr>
        <w:t>session</w:t>
      </w:r>
      <w:proofErr w:type="spellEnd"/>
      <w:r>
        <w:rPr>
          <w:rFonts w:eastAsia="Times New Roman"/>
          <w:vertAlign w:val="subscript"/>
        </w:rPr>
        <w:t xml:space="preserve"> </w:t>
      </w:r>
      <w:r>
        <w:rPr>
          <w:rFonts w:eastAsia="Times New Roman"/>
        </w:rPr>
        <w:t>= 30 minutes</w:t>
      </w:r>
      <w:r w:rsidRPr="001127FD">
        <w:rPr>
          <w:rFonts w:eastAsia="Times New Roman"/>
        </w:rPr>
        <w:t xml:space="preserve"> in Phase I and </w:t>
      </w:r>
      <w:proofErr w:type="spellStart"/>
      <w:r w:rsidRPr="001127FD">
        <w:rPr>
          <w:rFonts w:eastAsia="Times New Roman"/>
        </w:rPr>
        <w:t>T</w:t>
      </w:r>
      <w:r w:rsidRPr="001127FD">
        <w:rPr>
          <w:rFonts w:eastAsia="Times New Roman"/>
          <w:vertAlign w:val="subscript"/>
        </w:rPr>
        <w:t>session</w:t>
      </w:r>
      <w:proofErr w:type="spellEnd"/>
      <w:r w:rsidRPr="001127FD">
        <w:rPr>
          <w:rFonts w:eastAsia="Times New Roman"/>
        </w:rPr>
        <w:t>=</w:t>
      </w:r>
      <w:r>
        <w:rPr>
          <w:rFonts w:eastAsia="Times New Roman"/>
        </w:rPr>
        <w:t xml:space="preserve"> </w:t>
      </w:r>
      <w:r w:rsidRPr="001127FD">
        <w:rPr>
          <w:rFonts w:eastAsia="Times New Roman"/>
        </w:rPr>
        <w:t>40 minutes in Phase II,</w:t>
      </w:r>
      <w:r>
        <w:rPr>
          <w:rFonts w:eastAsia="Times New Roman"/>
        </w:rPr>
        <w:t xml:space="preserve"> </w:t>
      </w:r>
      <w:r w:rsidRPr="001127FD">
        <w:rPr>
          <w:rFonts w:eastAsia="Times New Roman"/>
        </w:rPr>
        <w:t>which is below the 45 minutes requirement.</w:t>
      </w:r>
      <w:r>
        <w:rPr>
          <w:rFonts w:eastAsia="Times New Roman"/>
        </w:rPr>
        <w:t xml:space="preserve"> </w:t>
      </w:r>
      <w:r w:rsidRPr="001127FD">
        <w:rPr>
          <w:rFonts w:eastAsia="Times New Roman"/>
        </w:rPr>
        <w:t xml:space="preserve">The total dataset size of </w:t>
      </w:r>
      <w:proofErr w:type="spellStart"/>
      <w:r w:rsidRPr="001127FD">
        <w:rPr>
          <w:rFonts w:eastAsia="Times New Roman"/>
        </w:rPr>
        <w:t>N</w:t>
      </w:r>
      <w:r w:rsidRPr="00937E4C">
        <w:rPr>
          <w:rFonts w:eastAsia="Times New Roman"/>
          <w:vertAlign w:val="subscript"/>
        </w:rPr>
        <w:t>dataset</w:t>
      </w:r>
      <w:proofErr w:type="spellEnd"/>
      <w:r>
        <w:rPr>
          <w:rFonts w:eastAsia="Times New Roman"/>
          <w:vertAlign w:val="subscript"/>
        </w:rPr>
        <w:t xml:space="preserve"> </w:t>
      </w:r>
      <w:r w:rsidRPr="001127FD">
        <w:rPr>
          <w:rFonts w:eastAsia="Times New Roman"/>
        </w:rPr>
        <w:t>=</w:t>
      </w:r>
      <w:r>
        <w:rPr>
          <w:rFonts w:eastAsia="Times New Roman"/>
        </w:rPr>
        <w:t xml:space="preserve"> </w:t>
      </w:r>
      <w:r w:rsidRPr="001127FD">
        <w:rPr>
          <w:rFonts w:eastAsia="Times New Roman"/>
        </w:rPr>
        <w:t xml:space="preserve">5000 </w:t>
      </w:r>
      <w:proofErr w:type="spellStart"/>
      <w:r w:rsidRPr="001127FD">
        <w:rPr>
          <w:rFonts w:eastAsia="Times New Roman"/>
        </w:rPr>
        <w:t>datapoints</w:t>
      </w:r>
      <w:proofErr w:type="spellEnd"/>
      <w:r w:rsidRPr="001127FD">
        <w:rPr>
          <w:rFonts w:eastAsia="Times New Roman"/>
        </w:rPr>
        <w:t xml:space="preserve"> in Phase I and </w:t>
      </w:r>
      <w:proofErr w:type="spellStart"/>
      <w:r w:rsidRPr="001127FD">
        <w:rPr>
          <w:rFonts w:eastAsia="Times New Roman"/>
        </w:rPr>
        <w:t>N</w:t>
      </w:r>
      <w:r w:rsidRPr="00937E4C">
        <w:rPr>
          <w:rFonts w:eastAsia="Times New Roman"/>
          <w:vertAlign w:val="subscript"/>
        </w:rPr>
        <w:t>dataset</w:t>
      </w:r>
      <w:proofErr w:type="spellEnd"/>
      <w:r w:rsidRPr="001127FD">
        <w:rPr>
          <w:rFonts w:eastAsia="Times New Roman"/>
        </w:rPr>
        <w:t xml:space="preserve">= 11,000 </w:t>
      </w:r>
      <w:proofErr w:type="spellStart"/>
      <w:proofErr w:type="gramStart"/>
      <w:r w:rsidRPr="001127FD">
        <w:rPr>
          <w:rFonts w:eastAsia="Times New Roman"/>
        </w:rPr>
        <w:t>datapoints</w:t>
      </w:r>
      <w:proofErr w:type="spellEnd"/>
      <w:r w:rsidRPr="001127FD">
        <w:rPr>
          <w:rFonts w:eastAsia="Times New Roman"/>
        </w:rPr>
        <w:t xml:space="preserve">  in</w:t>
      </w:r>
      <w:proofErr w:type="gramEnd"/>
      <w:r w:rsidRPr="001127FD">
        <w:rPr>
          <w:rFonts w:eastAsia="Times New Roman"/>
        </w:rPr>
        <w:t xml:space="preserve"> Phase II,</w:t>
      </w:r>
      <w:r>
        <w:rPr>
          <w:rFonts w:eastAsia="Times New Roman"/>
        </w:rPr>
        <w:t xml:space="preserve"> </w:t>
      </w:r>
      <w:r w:rsidRPr="001127FD">
        <w:rPr>
          <w:rFonts w:eastAsia="Times New Roman"/>
        </w:rPr>
        <w:t xml:space="preserve">and dimensionality of the feature space d= 480, matches the 10:1 ratio between datapoints and dimensionality of the feature space. For the number of lags, we based our choice on </w:t>
      </w:r>
      <w:r w:rsidR="002E2EC0">
        <w:rPr>
          <w:rFonts w:eastAsia="Times New Roman"/>
        </w:rPr>
        <w:fldChar w:fldCharType="begin"/>
      </w:r>
      <w:r w:rsidR="002E2EC0">
        <w:rPr>
          <w:rFonts w:eastAsia="Times New Roman"/>
        </w:rPr>
        <w:instrText xml:space="preserve"> ADDIN ZOTERO_ITEM CSL_CITATION {"citationID":"qFuyPFPJ","properties":{"formattedCitation":"(2)","plainCitation":"(2)","noteIndex":0},"citationItems":[{"id":58,"uris":["http://zotero.org/users/12936483/items/U87Q5VPU"],"itemData":{"id":58,"type":"article-journal","container-title":"Nature","DOI":"10.1038/nature20118","ISSN":"0028-0836, 1476-4687","issue":"7628","journalAbbreviation":"Nature","language":"en","page":"284-288","source":"DOI.org (Crossref)","title":"A brain–spine interface alleviating gait deficits after spinal cord injury in primates","volume":"539","author":[{"family":"Capogrosso","given":"Marco"},{"family":"Milekovic","given":"Tomislav"},{"family":"Borton","given":"David"},{"family":"Wagner","given":"Fabien"},{"family":"Moraud","given":"Eduardo Martin"},{"family":"Mignardot","given":"Jean-Baptiste"},{"family":"Buse","given":"Nicolas"},{"family":"Gandar","given":"Jerome"},{"family":"Barraud","given":"Quentin"},{"family":"Xing","given":"David"},{"family":"Rey","given":"Elodie"},{"family":"Duis","given":"Simone"},{"family":"Jianzhong","given":"Yang"},{"family":"Ko","given":"Wai Kin D."},{"family":"Li","given":"Qin"},{"family":"Detemple","given":"Peter"},{"family":"Denison","given":"Tim"},{"family":"Micera","given":"Silvestro"},{"family":"Bezard","given":"Erwan"},{"family":"Bloch","given":"Jocelyne"},{"family":"Courtine","given":"Grégoire"}],"issued":{"date-parts":[["2016",11]]}}}],"schema":"https://github.com/citation-style-language/schema/raw/master/csl-citation.json"} </w:instrText>
      </w:r>
      <w:r w:rsidR="002E2EC0">
        <w:rPr>
          <w:rFonts w:eastAsia="Times New Roman"/>
        </w:rPr>
        <w:fldChar w:fldCharType="separate"/>
      </w:r>
      <w:r w:rsidR="002E2EC0" w:rsidRPr="002E2EC0">
        <w:t>(2)</w:t>
      </w:r>
      <w:r w:rsidR="002E2EC0">
        <w:rPr>
          <w:rFonts w:eastAsia="Times New Roman"/>
        </w:rPr>
        <w:fldChar w:fldCharType="end"/>
      </w:r>
      <w:r w:rsidR="002E2EC0">
        <w:rPr>
          <w:rFonts w:eastAsia="Times New Roman"/>
        </w:rPr>
        <w:t>,</w:t>
      </w:r>
      <w:r w:rsidRPr="001127FD">
        <w:rPr>
          <w:rFonts w:eastAsia="Times New Roman"/>
        </w:rPr>
        <w:t xml:space="preserve"> which sets the history size to be 5x100ms = 500ms.</w:t>
      </w:r>
    </w:p>
    <w:bookmarkEnd w:id="0"/>
    <w:bookmarkEnd w:id="1"/>
    <w:p w14:paraId="3A55EDE0" w14:textId="77777777" w:rsidR="004E155E" w:rsidRPr="00156AC3" w:rsidRDefault="004E155E" w:rsidP="004E155E">
      <w:pPr>
        <w:pStyle w:val="ListParagraph"/>
      </w:pPr>
    </w:p>
    <w:p w14:paraId="0D938351" w14:textId="77777777" w:rsidR="004E155E" w:rsidRPr="008471BB" w:rsidRDefault="004E155E" w:rsidP="004E155E">
      <w:pPr>
        <w:spacing w:after="160" w:line="240" w:lineRule="auto"/>
        <w:jc w:val="both"/>
      </w:pPr>
    </w:p>
    <w:p w14:paraId="6F218534" w14:textId="77777777" w:rsidR="004E155E" w:rsidRDefault="004E155E" w:rsidP="004E155E">
      <w:pPr>
        <w:spacing w:after="160" w:line="278" w:lineRule="auto"/>
        <w:rPr>
          <w:sz w:val="20"/>
          <w:szCs w:val="20"/>
        </w:rPr>
      </w:pPr>
    </w:p>
    <w:p w14:paraId="7400005E" w14:textId="77777777" w:rsidR="004E155E" w:rsidRDefault="004E155E" w:rsidP="004E155E">
      <w:pPr>
        <w:spacing w:after="160" w:line="278" w:lineRule="auto"/>
        <w:rPr>
          <w:sz w:val="20"/>
          <w:szCs w:val="20"/>
        </w:rPr>
      </w:pPr>
      <w:r>
        <w:rPr>
          <w:sz w:val="20"/>
          <w:szCs w:val="20"/>
        </w:rPr>
        <w:br w:type="page"/>
      </w:r>
    </w:p>
    <w:p w14:paraId="3F1B0651" w14:textId="77777777" w:rsidR="004E155E" w:rsidRDefault="004E155E" w:rsidP="004E155E">
      <w:pPr>
        <w:spacing w:after="240" w:line="240" w:lineRule="auto"/>
        <w:jc w:val="center"/>
        <w:rPr>
          <w:b/>
          <w:sz w:val="20"/>
          <w:szCs w:val="20"/>
        </w:rPr>
      </w:pPr>
      <w:r>
        <w:rPr>
          <w:b/>
          <w:noProof/>
          <w:sz w:val="20"/>
          <w:szCs w:val="20"/>
          <w:lang w:val="en-IN" w:eastAsia="en-IN"/>
        </w:rPr>
        <w:lastRenderedPageBreak/>
        <w:drawing>
          <wp:inline distT="0" distB="0" distL="0" distR="0" wp14:anchorId="30F274C1" wp14:editId="6075D3C6">
            <wp:extent cx="4269850" cy="3195312"/>
            <wp:effectExtent l="0" t="0" r="0" b="5715"/>
            <wp:docPr id="1451369371" name="Picture 1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69371" name="Picture 11" descr="A table with numbers and lett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9921" cy="3210332"/>
                    </a:xfrm>
                    <a:prstGeom prst="rect">
                      <a:avLst/>
                    </a:prstGeom>
                    <a:noFill/>
                    <a:ln>
                      <a:noFill/>
                    </a:ln>
                  </pic:spPr>
                </pic:pic>
              </a:graphicData>
            </a:graphic>
          </wp:inline>
        </w:drawing>
      </w:r>
    </w:p>
    <w:p w14:paraId="0ACE281F" w14:textId="77777777" w:rsidR="004E155E" w:rsidRDefault="004E155E" w:rsidP="004E155E">
      <w:pPr>
        <w:spacing w:after="240" w:line="240" w:lineRule="auto"/>
        <w:jc w:val="both"/>
        <w:rPr>
          <w:sz w:val="20"/>
          <w:szCs w:val="20"/>
        </w:rPr>
      </w:pPr>
      <w:r w:rsidRPr="003D0931">
        <w:rPr>
          <w:b/>
          <w:sz w:val="20"/>
          <w:szCs w:val="20"/>
        </w:rPr>
        <w:t>Supplementary Table 1</w:t>
      </w:r>
      <w:r>
        <w:rPr>
          <w:b/>
          <w:sz w:val="20"/>
          <w:szCs w:val="20"/>
        </w:rPr>
        <w:t>.</w:t>
      </w:r>
      <w:r w:rsidRPr="003D0931">
        <w:rPr>
          <w:sz w:val="20"/>
          <w:szCs w:val="20"/>
        </w:rPr>
        <w:t xml:space="preserve"> </w:t>
      </w:r>
      <w:r w:rsidRPr="00011D7D">
        <w:rPr>
          <w:b/>
          <w:bCs/>
          <w:sz w:val="20"/>
          <w:szCs w:val="20"/>
        </w:rPr>
        <w:t>Participant demographics.</w:t>
      </w:r>
      <w:r>
        <w:rPr>
          <w:b/>
          <w:bCs/>
          <w:sz w:val="20"/>
          <w:szCs w:val="20"/>
        </w:rPr>
        <w:t xml:space="preserve"> </w:t>
      </w:r>
      <w:r w:rsidRPr="00011D7D">
        <w:rPr>
          <w:sz w:val="20"/>
          <w:szCs w:val="20"/>
        </w:rPr>
        <w:t>In column 3</w:t>
      </w:r>
      <w:r>
        <w:rPr>
          <w:sz w:val="20"/>
          <w:szCs w:val="20"/>
        </w:rPr>
        <w:t xml:space="preserve">, I. indicates the </w:t>
      </w:r>
      <w:proofErr w:type="spellStart"/>
      <w:r>
        <w:rPr>
          <w:sz w:val="20"/>
          <w:szCs w:val="20"/>
        </w:rPr>
        <w:t>uncued</w:t>
      </w:r>
      <w:proofErr w:type="spellEnd"/>
      <w:r>
        <w:rPr>
          <w:sz w:val="20"/>
          <w:szCs w:val="20"/>
        </w:rPr>
        <w:t xml:space="preserve"> movement-based decoder experiment, and II. indicates the anthropomorphic vs. bar cue experiment. </w:t>
      </w:r>
      <w:r w:rsidRPr="003D0931">
        <w:rPr>
          <w:sz w:val="20"/>
          <w:szCs w:val="20"/>
        </w:rPr>
        <w:t>*Datasets excluded from analysis due to outliers in channel noise.</w:t>
      </w:r>
    </w:p>
    <w:p w14:paraId="21E5E6CF" w14:textId="77777777" w:rsidR="004E155E" w:rsidRDefault="004E155E" w:rsidP="004E155E">
      <w:pPr>
        <w:spacing w:after="240" w:line="240" w:lineRule="auto"/>
        <w:jc w:val="center"/>
        <w:rPr>
          <w:sz w:val="20"/>
          <w:szCs w:val="20"/>
        </w:rPr>
      </w:pPr>
    </w:p>
    <w:p w14:paraId="0BD459DC" w14:textId="77777777" w:rsidR="004E155E" w:rsidRDefault="004E155E" w:rsidP="004E155E">
      <w:pPr>
        <w:spacing w:after="160" w:line="278" w:lineRule="auto"/>
        <w:rPr>
          <w:sz w:val="20"/>
          <w:szCs w:val="20"/>
        </w:rPr>
      </w:pPr>
      <w:r>
        <w:rPr>
          <w:sz w:val="20"/>
          <w:szCs w:val="20"/>
        </w:rPr>
        <w:br w:type="page"/>
      </w:r>
    </w:p>
    <w:p w14:paraId="6C880B69" w14:textId="77777777" w:rsidR="004E155E" w:rsidRDefault="004E155E" w:rsidP="004E155E">
      <w:pPr>
        <w:spacing w:after="240" w:line="240" w:lineRule="auto"/>
        <w:jc w:val="center"/>
        <w:rPr>
          <w:sz w:val="20"/>
          <w:szCs w:val="20"/>
        </w:rPr>
      </w:pPr>
      <w:r>
        <w:rPr>
          <w:noProof/>
          <w:sz w:val="20"/>
          <w:szCs w:val="20"/>
          <w:lang w:val="en-IN" w:eastAsia="en-IN"/>
          <w14:ligatures w14:val="standardContextual"/>
        </w:rPr>
        <w:lastRenderedPageBreak/>
        <w:drawing>
          <wp:inline distT="0" distB="0" distL="0" distR="0" wp14:anchorId="234A3919" wp14:editId="08DE8547">
            <wp:extent cx="5939790" cy="1995805"/>
            <wp:effectExtent l="0" t="0" r="3810" b="4445"/>
            <wp:docPr id="735915735"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15735" name="Picture 9" descr="A screenshot of a computer scree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1995805"/>
                    </a:xfrm>
                    <a:prstGeom prst="rect">
                      <a:avLst/>
                    </a:prstGeom>
                    <a:noFill/>
                    <a:ln>
                      <a:noFill/>
                    </a:ln>
                  </pic:spPr>
                </pic:pic>
              </a:graphicData>
            </a:graphic>
          </wp:inline>
        </w:drawing>
      </w:r>
    </w:p>
    <w:p w14:paraId="3A2AA7B7" w14:textId="77777777" w:rsidR="004E155E" w:rsidRDefault="004E155E" w:rsidP="004E155E">
      <w:pPr>
        <w:spacing w:after="240" w:line="240" w:lineRule="auto"/>
        <w:jc w:val="both"/>
        <w:rPr>
          <w:sz w:val="20"/>
          <w:szCs w:val="20"/>
          <w:lang w:val="en-US"/>
        </w:rPr>
      </w:pPr>
      <w:r w:rsidRPr="006B4BCA">
        <w:rPr>
          <w:b/>
          <w:bCs/>
          <w:sz w:val="20"/>
          <w:szCs w:val="20"/>
        </w:rPr>
        <w:t>Supplementary Figure 1</w:t>
      </w:r>
      <w:r>
        <w:rPr>
          <w:b/>
          <w:bCs/>
          <w:sz w:val="20"/>
          <w:szCs w:val="20"/>
        </w:rPr>
        <w:t>. Stimulation protocol to selectively target right hip muscles.</w:t>
      </w:r>
      <w:r w:rsidRPr="006B4BCA">
        <w:rPr>
          <w:b/>
          <w:bCs/>
          <w:sz w:val="20"/>
          <w:szCs w:val="20"/>
        </w:rPr>
        <w:t xml:space="preserve"> </w:t>
      </w:r>
      <w:r w:rsidRPr="006B4BCA">
        <w:rPr>
          <w:b/>
          <w:bCs/>
          <w:sz w:val="20"/>
          <w:szCs w:val="20"/>
          <w:lang w:val="en-US"/>
        </w:rPr>
        <w:t xml:space="preserve">a. </w:t>
      </w:r>
      <w:r w:rsidRPr="00E90EA4">
        <w:rPr>
          <w:sz w:val="20"/>
          <w:szCs w:val="20"/>
          <w:lang w:val="en-US"/>
        </w:rPr>
        <w:t xml:space="preserve">Configuration of </w:t>
      </w:r>
      <w:proofErr w:type="spellStart"/>
      <w:r w:rsidRPr="00E90EA4">
        <w:rPr>
          <w:sz w:val="20"/>
          <w:szCs w:val="20"/>
          <w:lang w:val="en-US"/>
        </w:rPr>
        <w:t>tSCS</w:t>
      </w:r>
      <w:proofErr w:type="spellEnd"/>
      <w:r w:rsidRPr="00E90EA4">
        <w:rPr>
          <w:sz w:val="20"/>
          <w:szCs w:val="20"/>
          <w:lang w:val="en-US"/>
        </w:rPr>
        <w:t>.</w:t>
      </w:r>
      <w:r>
        <w:rPr>
          <w:b/>
          <w:bCs/>
          <w:sz w:val="20"/>
          <w:szCs w:val="20"/>
          <w:lang w:val="en-US"/>
        </w:rPr>
        <w:t xml:space="preserve"> </w:t>
      </w:r>
      <w:r w:rsidRPr="006B4BCA">
        <w:rPr>
          <w:sz w:val="20"/>
          <w:szCs w:val="20"/>
          <w:lang w:val="en-US"/>
        </w:rPr>
        <w:t xml:space="preserve">Placement of the stimulation cathode at spinal segment T10 and return anode to the right of the naval to </w:t>
      </w:r>
      <w:r>
        <w:rPr>
          <w:sz w:val="20"/>
          <w:szCs w:val="20"/>
          <w:lang w:val="en-US"/>
        </w:rPr>
        <w:t>selectively target right hip muscles</w:t>
      </w:r>
      <w:r w:rsidRPr="006B4BCA">
        <w:rPr>
          <w:sz w:val="20"/>
          <w:szCs w:val="20"/>
          <w:lang w:val="en-US"/>
        </w:rPr>
        <w:t xml:space="preserve">. </w:t>
      </w:r>
      <w:r w:rsidRPr="006B4BCA">
        <w:rPr>
          <w:b/>
          <w:bCs/>
          <w:sz w:val="20"/>
          <w:szCs w:val="20"/>
          <w:lang w:val="en-US"/>
        </w:rPr>
        <w:t xml:space="preserve">b. </w:t>
      </w:r>
      <w:r w:rsidRPr="00E90EA4">
        <w:rPr>
          <w:sz w:val="20"/>
          <w:szCs w:val="20"/>
          <w:lang w:val="en-US"/>
        </w:rPr>
        <w:t>Muscle responses.</w:t>
      </w:r>
      <w:r>
        <w:rPr>
          <w:b/>
          <w:bCs/>
          <w:sz w:val="20"/>
          <w:szCs w:val="20"/>
          <w:lang w:val="en-US"/>
        </w:rPr>
        <w:t xml:space="preserve"> </w:t>
      </w:r>
      <w:r w:rsidRPr="006B4BCA">
        <w:rPr>
          <w:sz w:val="20"/>
          <w:szCs w:val="20"/>
          <w:lang w:val="en-US"/>
        </w:rPr>
        <w:t>Muscle responses from major leg muscles for pulse</w:t>
      </w:r>
      <w:r>
        <w:rPr>
          <w:sz w:val="20"/>
          <w:szCs w:val="20"/>
          <w:lang w:val="en-US"/>
        </w:rPr>
        <w:t>s of</w:t>
      </w:r>
      <w:r w:rsidRPr="006B4BCA">
        <w:rPr>
          <w:sz w:val="20"/>
          <w:szCs w:val="20"/>
          <w:lang w:val="en-US"/>
        </w:rPr>
        <w:t xml:space="preserve"> increasing amplitude</w:t>
      </w:r>
      <w:r>
        <w:rPr>
          <w:sz w:val="20"/>
          <w:szCs w:val="20"/>
          <w:lang w:val="en-US"/>
        </w:rPr>
        <w:t>s</w:t>
      </w:r>
      <w:r w:rsidRPr="006B4BCA">
        <w:rPr>
          <w:sz w:val="20"/>
          <w:szCs w:val="20"/>
          <w:lang w:val="en-US"/>
        </w:rPr>
        <w:t xml:space="preserve">. </w:t>
      </w:r>
      <w:r w:rsidRPr="006B4BCA">
        <w:rPr>
          <w:b/>
          <w:bCs/>
          <w:sz w:val="20"/>
          <w:szCs w:val="20"/>
          <w:lang w:val="en-US"/>
        </w:rPr>
        <w:t xml:space="preserve">c. </w:t>
      </w:r>
      <w:r w:rsidRPr="00E90EA4">
        <w:rPr>
          <w:sz w:val="20"/>
          <w:szCs w:val="20"/>
          <w:lang w:val="en-US"/>
        </w:rPr>
        <w:t>Recruitment curves.</w:t>
      </w:r>
      <w:r>
        <w:rPr>
          <w:b/>
          <w:bCs/>
          <w:sz w:val="20"/>
          <w:szCs w:val="20"/>
          <w:lang w:val="en-US"/>
        </w:rPr>
        <w:t xml:space="preserve"> </w:t>
      </w:r>
      <w:r>
        <w:rPr>
          <w:sz w:val="20"/>
          <w:szCs w:val="20"/>
          <w:lang w:val="en-US"/>
        </w:rPr>
        <w:t>Muscle response peak-to-peak amplitude as a function of stimulation amplitude. Abbreviations: rectus femoris (RF); vastus lateralis (VL); tibialis anterior (TA); medial gastrocnemius (MG); soleus (SL).</w:t>
      </w:r>
    </w:p>
    <w:p w14:paraId="1170F8F7" w14:textId="77777777" w:rsidR="004E155E" w:rsidRDefault="004E155E" w:rsidP="004E155E">
      <w:pPr>
        <w:spacing w:after="160" w:line="278" w:lineRule="auto"/>
        <w:rPr>
          <w:sz w:val="20"/>
          <w:szCs w:val="20"/>
          <w:lang w:val="en-US"/>
        </w:rPr>
      </w:pPr>
      <w:r>
        <w:rPr>
          <w:sz w:val="20"/>
          <w:szCs w:val="20"/>
          <w:lang w:val="en-US"/>
        </w:rPr>
        <w:br w:type="page"/>
      </w:r>
    </w:p>
    <w:p w14:paraId="360BDB45" w14:textId="77777777" w:rsidR="004E155E" w:rsidRDefault="004E155E" w:rsidP="004E155E">
      <w:pPr>
        <w:spacing w:after="160" w:line="240" w:lineRule="auto"/>
        <w:jc w:val="center"/>
      </w:pPr>
      <w:r>
        <w:rPr>
          <w:noProof/>
          <w:lang w:val="en-IN" w:eastAsia="en-IN"/>
        </w:rPr>
        <w:lastRenderedPageBreak/>
        <w:drawing>
          <wp:inline distT="0" distB="0" distL="0" distR="0" wp14:anchorId="6A57BFA0" wp14:editId="435F57EF">
            <wp:extent cx="7434560" cy="2567999"/>
            <wp:effectExtent l="0" t="5397" r="9207" b="9208"/>
            <wp:docPr id="1330028673" name="Picture 12"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28673" name="Picture 12" descr="A screenshot of a tabl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7450845" cy="2573624"/>
                    </a:xfrm>
                    <a:prstGeom prst="rect">
                      <a:avLst/>
                    </a:prstGeom>
                    <a:noFill/>
                    <a:ln>
                      <a:noFill/>
                    </a:ln>
                  </pic:spPr>
                </pic:pic>
              </a:graphicData>
            </a:graphic>
          </wp:inline>
        </w:drawing>
      </w:r>
    </w:p>
    <w:p w14:paraId="7FE7C11A" w14:textId="77777777" w:rsidR="004E155E" w:rsidRDefault="004E155E" w:rsidP="004E155E">
      <w:pPr>
        <w:spacing w:after="160" w:line="240" w:lineRule="auto"/>
        <w:jc w:val="both"/>
        <w:rPr>
          <w:sz w:val="20"/>
          <w:szCs w:val="20"/>
        </w:rPr>
      </w:pPr>
      <w:r w:rsidRPr="006B4BCA">
        <w:rPr>
          <w:b/>
          <w:bCs/>
          <w:sz w:val="20"/>
          <w:szCs w:val="20"/>
        </w:rPr>
        <w:t xml:space="preserve">Supplementary Table </w:t>
      </w:r>
      <w:r>
        <w:rPr>
          <w:b/>
          <w:bCs/>
          <w:sz w:val="20"/>
          <w:szCs w:val="20"/>
        </w:rPr>
        <w:t>2. Decoder AUC and confidence intervals.</w:t>
      </w:r>
      <w:r w:rsidRPr="006B4BCA">
        <w:rPr>
          <w:b/>
          <w:bCs/>
          <w:sz w:val="20"/>
          <w:szCs w:val="20"/>
        </w:rPr>
        <w:t xml:space="preserve"> </w:t>
      </w:r>
      <w:r>
        <w:rPr>
          <w:sz w:val="20"/>
          <w:szCs w:val="20"/>
        </w:rPr>
        <w:t xml:space="preserve">AUCs for each participant's decoder were calculated from the original test set. The 95% confidence intervals were </w:t>
      </w:r>
      <w:r w:rsidRPr="006B4BCA">
        <w:rPr>
          <w:sz w:val="20"/>
          <w:szCs w:val="20"/>
        </w:rPr>
        <w:t xml:space="preserve">constructed from </w:t>
      </w:r>
      <w:r>
        <w:rPr>
          <w:sz w:val="20"/>
          <w:szCs w:val="20"/>
        </w:rPr>
        <w:t>bootstrapping.</w:t>
      </w:r>
    </w:p>
    <w:p w14:paraId="78E7F6E1" w14:textId="77777777" w:rsidR="004E155E" w:rsidRDefault="004E155E" w:rsidP="004E155E">
      <w:pPr>
        <w:spacing w:after="160" w:line="278" w:lineRule="auto"/>
        <w:jc w:val="center"/>
        <w:rPr>
          <w:sz w:val="20"/>
          <w:szCs w:val="20"/>
        </w:rPr>
      </w:pPr>
      <w:r>
        <w:rPr>
          <w:sz w:val="20"/>
          <w:szCs w:val="20"/>
        </w:rPr>
        <w:br w:type="page"/>
      </w:r>
      <w:r>
        <w:rPr>
          <w:noProof/>
          <w:sz w:val="20"/>
          <w:szCs w:val="20"/>
          <w:lang w:val="en-IN" w:eastAsia="en-IN"/>
        </w:rPr>
        <w:lastRenderedPageBreak/>
        <w:drawing>
          <wp:inline distT="0" distB="0" distL="0" distR="0" wp14:anchorId="3BBD3A80" wp14:editId="0A2D59E6">
            <wp:extent cx="5561330" cy="4892675"/>
            <wp:effectExtent l="0" t="0" r="1270" b="3175"/>
            <wp:docPr id="17196625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62515" name="Picture 1"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1330" cy="4892675"/>
                    </a:xfrm>
                    <a:prstGeom prst="rect">
                      <a:avLst/>
                    </a:prstGeom>
                    <a:noFill/>
                    <a:ln>
                      <a:noFill/>
                    </a:ln>
                  </pic:spPr>
                </pic:pic>
              </a:graphicData>
            </a:graphic>
          </wp:inline>
        </w:drawing>
      </w:r>
    </w:p>
    <w:p w14:paraId="75F7206D" w14:textId="77777777" w:rsidR="004E155E" w:rsidRPr="001127FD" w:rsidRDefault="004E155E" w:rsidP="004E155E">
      <w:pPr>
        <w:spacing w:after="160" w:line="240" w:lineRule="auto"/>
        <w:jc w:val="center"/>
        <w:rPr>
          <w:sz w:val="20"/>
          <w:szCs w:val="20"/>
        </w:rPr>
      </w:pPr>
      <w:bookmarkStart w:id="2" w:name="_Hlk188365251"/>
      <w:r w:rsidRPr="001127FD">
        <w:rPr>
          <w:b/>
          <w:bCs/>
          <w:sz w:val="20"/>
          <w:szCs w:val="20"/>
        </w:rPr>
        <w:t>Supplementary Table 3:</w:t>
      </w:r>
      <w:r w:rsidRPr="001127FD">
        <w:rPr>
          <w:sz w:val="20"/>
          <w:szCs w:val="20"/>
        </w:rPr>
        <w:t xml:space="preserve"> Summary of statistics.</w:t>
      </w:r>
    </w:p>
    <w:p w14:paraId="24A3FE32" w14:textId="77777777" w:rsidR="004E155E" w:rsidRPr="001127FD" w:rsidRDefault="004E155E" w:rsidP="004E155E">
      <w:pPr>
        <w:spacing w:after="160" w:line="240" w:lineRule="auto"/>
        <w:jc w:val="both"/>
        <w:rPr>
          <w:sz w:val="20"/>
          <w:szCs w:val="20"/>
        </w:rPr>
      </w:pPr>
      <w:r w:rsidRPr="001127FD">
        <w:rPr>
          <w:sz w:val="20"/>
          <w:szCs w:val="20"/>
        </w:rPr>
        <w:t xml:space="preserve">* P values, effect size, and power is presented here as an average across 32 channels.  Individual channels' p values and power can be seen in Supplementary Figure 2. </w:t>
      </w:r>
    </w:p>
    <w:p w14:paraId="425B7CBC" w14:textId="77777777" w:rsidR="004E155E" w:rsidRPr="001127FD" w:rsidRDefault="004E155E" w:rsidP="004E155E">
      <w:pPr>
        <w:spacing w:after="160" w:line="240" w:lineRule="auto"/>
        <w:jc w:val="both"/>
        <w:rPr>
          <w:sz w:val="20"/>
          <w:szCs w:val="20"/>
        </w:rPr>
      </w:pPr>
      <w:r w:rsidRPr="001127FD">
        <w:rPr>
          <w:sz w:val="20"/>
          <w:szCs w:val="20"/>
        </w:rPr>
        <w:t>** P values, effect size, and power is presented here as an average across 3 frequency bands.</w:t>
      </w:r>
    </w:p>
    <w:p w14:paraId="4ACD1775" w14:textId="77777777" w:rsidR="004E155E" w:rsidRPr="001127FD" w:rsidRDefault="004E155E" w:rsidP="004E155E">
      <w:pPr>
        <w:spacing w:after="160" w:line="240" w:lineRule="auto"/>
        <w:jc w:val="both"/>
        <w:rPr>
          <w:sz w:val="20"/>
          <w:szCs w:val="20"/>
        </w:rPr>
      </w:pPr>
      <w:r w:rsidRPr="001127FD">
        <w:rPr>
          <w:sz w:val="20"/>
          <w:szCs w:val="20"/>
        </w:rPr>
        <w:t>*** Populations sampled with replacement to obtain k = 10,000 fictive populations of n = 9 to simulate a distribution.</w:t>
      </w:r>
    </w:p>
    <w:p w14:paraId="3909B135" w14:textId="4803B9EA" w:rsidR="004E155E" w:rsidRPr="001127FD" w:rsidRDefault="004E155E" w:rsidP="004E155E">
      <w:pPr>
        <w:spacing w:after="160" w:line="240" w:lineRule="auto"/>
        <w:jc w:val="both"/>
        <w:rPr>
          <w:sz w:val="20"/>
          <w:szCs w:val="20"/>
        </w:rPr>
      </w:pPr>
      <w:r w:rsidRPr="001127FD">
        <w:rPr>
          <w:sz w:val="20"/>
          <w:szCs w:val="20"/>
        </w:rPr>
        <w:t xml:space="preserve">**** For non-parametric statistical comparisons, power is calculated with Monte Carlo simulation to resample each group over 10,000 iterations and test for a significant difference between groups. Power is calculated as the proportion of significant results over the total number of iterations </w:t>
      </w:r>
      <w:r w:rsidR="002E2EC0">
        <w:rPr>
          <w:sz w:val="20"/>
          <w:szCs w:val="20"/>
        </w:rPr>
        <w:fldChar w:fldCharType="begin"/>
      </w:r>
      <w:r w:rsidR="002E2EC0">
        <w:rPr>
          <w:sz w:val="20"/>
          <w:szCs w:val="20"/>
        </w:rPr>
        <w:instrText xml:space="preserve"> ADDIN ZOTERO_ITEM CSL_CITATION {"citationID":"BdauEpZy","properties":{"formattedCitation":"(3)","plainCitation":"(3)","noteIndex":0},"citationItems":[{"id":1422,"uris":["http://zotero.org/users/12936483/items/47PKJZRE"],"itemData":{"id":1422,"type":"article-journal","abstract":"An important aspect of study design is the determination of the sample size necessary to ensure that the study objectives are likely to be met. In addition to the total number of samples, the spatial and temporal distribution of sampling effort can have a significant impact on the power of the study. Estimating the power of a test is not always a simple task and it is often desirable to estimate power for a range study designs. The use of Monte Carlo methods allows a variety of designs to be simulated and the results compared to find the design that meets the desired objectives most efficiently.","language":"en","source":"Zotero","title":"Study Design with SAS®: Estimating Power with Monte Carlo Methods","author":[{"family":"Graebner","given":"Robert W"}]}}],"schema":"https://github.com/citation-style-language/schema/raw/master/csl-citation.json"} </w:instrText>
      </w:r>
      <w:r w:rsidR="002E2EC0">
        <w:rPr>
          <w:sz w:val="20"/>
          <w:szCs w:val="20"/>
        </w:rPr>
        <w:fldChar w:fldCharType="separate"/>
      </w:r>
      <w:r w:rsidR="002E2EC0" w:rsidRPr="002E2EC0">
        <w:rPr>
          <w:sz w:val="20"/>
        </w:rPr>
        <w:t>(3)</w:t>
      </w:r>
      <w:r w:rsidR="002E2EC0">
        <w:rPr>
          <w:sz w:val="20"/>
          <w:szCs w:val="20"/>
        </w:rPr>
        <w:fldChar w:fldCharType="end"/>
      </w:r>
      <w:r w:rsidR="002E2EC0">
        <w:rPr>
          <w:sz w:val="20"/>
          <w:szCs w:val="20"/>
        </w:rPr>
        <w:t>.</w:t>
      </w:r>
    </w:p>
    <w:p w14:paraId="43DFFF97" w14:textId="77777777" w:rsidR="004E155E" w:rsidRPr="001127FD" w:rsidRDefault="004E155E" w:rsidP="004E155E">
      <w:pPr>
        <w:spacing w:after="160" w:line="240" w:lineRule="auto"/>
        <w:jc w:val="both"/>
        <w:rPr>
          <w:sz w:val="20"/>
          <w:szCs w:val="20"/>
        </w:rPr>
      </w:pPr>
      <w:r w:rsidRPr="001127FD">
        <w:rPr>
          <w:sz w:val="20"/>
          <w:szCs w:val="20"/>
        </w:rPr>
        <w:t>**** Power is close to or equal to 1 when the distributions between groups are perfectly non-overlapping. In this case, none of the AUC values are &lt;0.5, and therefore the power is 100% for the comparison to chance.</w:t>
      </w:r>
    </w:p>
    <w:bookmarkEnd w:id="2"/>
    <w:p w14:paraId="035D2CAF" w14:textId="77777777" w:rsidR="004E155E" w:rsidRPr="001127FD" w:rsidRDefault="004E155E" w:rsidP="004E155E">
      <w:pPr>
        <w:spacing w:after="160" w:line="278" w:lineRule="auto"/>
        <w:rPr>
          <w:sz w:val="20"/>
          <w:szCs w:val="20"/>
        </w:rPr>
      </w:pPr>
    </w:p>
    <w:p w14:paraId="2887ED79" w14:textId="77777777" w:rsidR="004E155E" w:rsidRPr="001127FD" w:rsidRDefault="004E155E" w:rsidP="004E155E">
      <w:pPr>
        <w:spacing w:after="160" w:line="240" w:lineRule="auto"/>
        <w:jc w:val="center"/>
        <w:rPr>
          <w:sz w:val="20"/>
          <w:szCs w:val="20"/>
        </w:rPr>
      </w:pPr>
      <w:r>
        <w:rPr>
          <w:sz w:val="20"/>
          <w:szCs w:val="20"/>
          <w:lang w:val="en-US"/>
        </w:rPr>
        <w:br w:type="page"/>
      </w:r>
      <w:bookmarkStart w:id="3" w:name="_Hlk188365268"/>
      <w:r w:rsidRPr="001127FD">
        <w:rPr>
          <w:noProof/>
          <w:sz w:val="20"/>
          <w:szCs w:val="20"/>
          <w:lang w:val="en-IN" w:eastAsia="en-IN"/>
        </w:rPr>
        <w:lastRenderedPageBreak/>
        <w:drawing>
          <wp:inline distT="0" distB="0" distL="0" distR="0" wp14:anchorId="16B91FA5" wp14:editId="15481A80">
            <wp:extent cx="2178050" cy="4203700"/>
            <wp:effectExtent l="0" t="0" r="0" b="6350"/>
            <wp:docPr id="564285772"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85772" name="Picture 2" descr="A screenshot of a video gam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8050" cy="4203700"/>
                    </a:xfrm>
                    <a:prstGeom prst="rect">
                      <a:avLst/>
                    </a:prstGeom>
                    <a:noFill/>
                    <a:ln>
                      <a:noFill/>
                    </a:ln>
                  </pic:spPr>
                </pic:pic>
              </a:graphicData>
            </a:graphic>
          </wp:inline>
        </w:drawing>
      </w:r>
    </w:p>
    <w:p w14:paraId="01AE01C5" w14:textId="77777777" w:rsidR="004E155E" w:rsidRPr="001127FD" w:rsidRDefault="004E155E" w:rsidP="004E155E">
      <w:pPr>
        <w:spacing w:after="160" w:line="240" w:lineRule="auto"/>
        <w:jc w:val="center"/>
        <w:rPr>
          <w:sz w:val="20"/>
          <w:szCs w:val="20"/>
        </w:rPr>
      </w:pPr>
      <w:r w:rsidRPr="001127FD">
        <w:rPr>
          <w:b/>
          <w:bCs/>
          <w:sz w:val="20"/>
          <w:szCs w:val="20"/>
        </w:rPr>
        <w:t>Supplementary Figure 2:</w:t>
      </w:r>
      <w:r w:rsidRPr="001127FD">
        <w:rPr>
          <w:sz w:val="20"/>
          <w:szCs w:val="20"/>
        </w:rPr>
        <w:t xml:space="preserve"> Statistics of R</w:t>
      </w:r>
      <w:r w:rsidRPr="001127FD">
        <w:rPr>
          <w:sz w:val="20"/>
          <w:szCs w:val="20"/>
          <w:vertAlign w:val="superscript"/>
        </w:rPr>
        <w:t>2</w:t>
      </w:r>
      <w:r w:rsidRPr="001127FD">
        <w:rPr>
          <w:sz w:val="20"/>
          <w:szCs w:val="20"/>
        </w:rPr>
        <w:t xml:space="preserve"> differences analysis shown in Figure 4. P values (left) and power (right) of a one sample Wilcoxon signed rank test in R</w:t>
      </w:r>
      <w:r w:rsidRPr="001127FD">
        <w:rPr>
          <w:sz w:val="20"/>
          <w:szCs w:val="20"/>
          <w:vertAlign w:val="superscript"/>
        </w:rPr>
        <w:t>2</w:t>
      </w:r>
      <w:r w:rsidRPr="001127FD">
        <w:rPr>
          <w:sz w:val="20"/>
          <w:szCs w:val="20"/>
        </w:rPr>
        <w:t xml:space="preserve"> difference from cued movement for imagery and </w:t>
      </w:r>
      <w:proofErr w:type="spellStart"/>
      <w:r w:rsidRPr="001127FD">
        <w:rPr>
          <w:sz w:val="20"/>
          <w:szCs w:val="20"/>
        </w:rPr>
        <w:t>uncued</w:t>
      </w:r>
      <w:proofErr w:type="spellEnd"/>
      <w:r w:rsidRPr="001127FD">
        <w:rPr>
          <w:sz w:val="20"/>
          <w:szCs w:val="20"/>
        </w:rPr>
        <w:t xml:space="preserve"> movement. Analysis not corrected for multiple comparisons.</w:t>
      </w:r>
    </w:p>
    <w:bookmarkEnd w:id="3"/>
    <w:p w14:paraId="0B8688A2" w14:textId="77777777" w:rsidR="004E155E" w:rsidRPr="001127FD" w:rsidRDefault="004E155E" w:rsidP="004E155E">
      <w:pPr>
        <w:spacing w:after="160" w:line="278" w:lineRule="auto"/>
        <w:rPr>
          <w:sz w:val="20"/>
          <w:szCs w:val="20"/>
        </w:rPr>
      </w:pPr>
      <w:r w:rsidRPr="001127FD">
        <w:rPr>
          <w:sz w:val="20"/>
          <w:szCs w:val="20"/>
        </w:rPr>
        <w:br w:type="page"/>
      </w:r>
    </w:p>
    <w:p w14:paraId="43346CD2" w14:textId="77777777" w:rsidR="004E155E" w:rsidRPr="003D0931" w:rsidRDefault="004E155E" w:rsidP="004E155E">
      <w:pPr>
        <w:spacing w:after="160" w:line="240" w:lineRule="auto"/>
        <w:jc w:val="center"/>
      </w:pPr>
      <w:r w:rsidRPr="00012ACD">
        <w:rPr>
          <w:noProof/>
          <w:lang w:val="en-IN" w:eastAsia="en-IN"/>
        </w:rPr>
        <w:lastRenderedPageBreak/>
        <w:drawing>
          <wp:inline distT="0" distB="0" distL="0" distR="0" wp14:anchorId="2B843A82" wp14:editId="0AC55A55">
            <wp:extent cx="3713259" cy="3140402"/>
            <wp:effectExtent l="0" t="0" r="1905" b="3175"/>
            <wp:docPr id="76789834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98347" name="Picture 1" descr="A table with numbers and text&#10;&#10;Description automatically generated"/>
                    <pic:cNvPicPr/>
                  </pic:nvPicPr>
                  <pic:blipFill>
                    <a:blip r:embed="rId13"/>
                    <a:stretch>
                      <a:fillRect/>
                    </a:stretch>
                  </pic:blipFill>
                  <pic:spPr>
                    <a:xfrm>
                      <a:off x="0" y="0"/>
                      <a:ext cx="3725951" cy="3151136"/>
                    </a:xfrm>
                    <a:prstGeom prst="rect">
                      <a:avLst/>
                    </a:prstGeom>
                  </pic:spPr>
                </pic:pic>
              </a:graphicData>
            </a:graphic>
          </wp:inline>
        </w:drawing>
      </w:r>
    </w:p>
    <w:p w14:paraId="4D3F8713" w14:textId="77777777" w:rsidR="004E155E" w:rsidRDefault="004E155E" w:rsidP="004E155E">
      <w:pPr>
        <w:spacing w:after="160" w:line="240" w:lineRule="auto"/>
        <w:jc w:val="both"/>
        <w:rPr>
          <w:sz w:val="20"/>
          <w:szCs w:val="20"/>
        </w:rPr>
      </w:pPr>
      <w:r w:rsidRPr="006B4BCA">
        <w:rPr>
          <w:b/>
          <w:bCs/>
          <w:sz w:val="20"/>
          <w:szCs w:val="20"/>
        </w:rPr>
        <w:t xml:space="preserve">Supplementary Table </w:t>
      </w:r>
      <w:r>
        <w:rPr>
          <w:b/>
          <w:bCs/>
          <w:sz w:val="20"/>
          <w:szCs w:val="20"/>
        </w:rPr>
        <w:t>4.</w:t>
      </w:r>
      <w:r w:rsidRPr="006B4BCA">
        <w:rPr>
          <w:sz w:val="20"/>
          <w:szCs w:val="20"/>
        </w:rPr>
        <w:t xml:space="preserve"> </w:t>
      </w:r>
      <w:r w:rsidRPr="00011D7D">
        <w:rPr>
          <w:b/>
          <w:bCs/>
          <w:sz w:val="20"/>
          <w:szCs w:val="20"/>
        </w:rPr>
        <w:t xml:space="preserve">Onset detection performance comparison at a tolerance window of 0.8 seconds around true onset. </w:t>
      </w:r>
      <w:r w:rsidRPr="006B4BCA">
        <w:rPr>
          <w:sz w:val="20"/>
          <w:szCs w:val="20"/>
        </w:rPr>
        <w:t xml:space="preserve">This tolerance window was the inflection point of the derivative of the onset detection TPR curve for Phase I cued movement and </w:t>
      </w:r>
      <w:r>
        <w:rPr>
          <w:sz w:val="20"/>
          <w:szCs w:val="20"/>
        </w:rPr>
        <w:t>applied</w:t>
      </w:r>
      <w:r w:rsidRPr="006B4BCA">
        <w:rPr>
          <w:sz w:val="20"/>
          <w:szCs w:val="20"/>
        </w:rPr>
        <w:t xml:space="preserve"> across conditions for comparison of results.</w:t>
      </w:r>
      <w:r>
        <w:rPr>
          <w:sz w:val="20"/>
          <w:szCs w:val="20"/>
        </w:rPr>
        <w:t xml:space="preserve"> Values are presented as percentages.</w:t>
      </w:r>
    </w:p>
    <w:p w14:paraId="192DC9CF" w14:textId="77777777" w:rsidR="004E155E" w:rsidRDefault="004E155E" w:rsidP="004E155E">
      <w:pPr>
        <w:spacing w:after="160" w:line="278" w:lineRule="auto"/>
        <w:rPr>
          <w:sz w:val="20"/>
          <w:szCs w:val="20"/>
        </w:rPr>
      </w:pPr>
      <w:r>
        <w:rPr>
          <w:sz w:val="20"/>
          <w:szCs w:val="20"/>
        </w:rPr>
        <w:br w:type="page"/>
      </w:r>
    </w:p>
    <w:p w14:paraId="0CA3BEE1" w14:textId="77777777" w:rsidR="004E155E" w:rsidRPr="006B4BCA" w:rsidRDefault="004E155E" w:rsidP="004E155E">
      <w:pPr>
        <w:spacing w:after="160" w:line="240" w:lineRule="auto"/>
        <w:jc w:val="both"/>
        <w:rPr>
          <w:sz w:val="20"/>
          <w:szCs w:val="20"/>
        </w:rPr>
      </w:pPr>
    </w:p>
    <w:p w14:paraId="00DE6574" w14:textId="0C3D1CC9" w:rsidR="004E155E" w:rsidRPr="0013796A" w:rsidRDefault="004E155E" w:rsidP="004E155E">
      <w:pPr>
        <w:spacing w:after="160" w:line="278" w:lineRule="auto"/>
        <w:rPr>
          <w:sz w:val="20"/>
          <w:szCs w:val="20"/>
          <w:lang w:val="en-US"/>
        </w:rPr>
      </w:pPr>
    </w:p>
    <w:p w14:paraId="6EE6D0F4" w14:textId="1F7787FD" w:rsidR="004E155E" w:rsidRDefault="00715583" w:rsidP="004E155E">
      <w:pPr>
        <w:spacing w:after="160" w:line="240" w:lineRule="auto"/>
        <w:jc w:val="both"/>
        <w:rPr>
          <w:b/>
          <w:bCs/>
          <w:sz w:val="20"/>
          <w:szCs w:val="20"/>
        </w:rPr>
      </w:pPr>
      <w:r>
        <w:rPr>
          <w:b/>
          <w:bCs/>
          <w:noProof/>
          <w:sz w:val="20"/>
          <w:szCs w:val="20"/>
          <w:lang w:val="en-IN" w:eastAsia="en-IN"/>
          <w14:ligatures w14:val="standardContextual"/>
        </w:rPr>
        <w:pict w14:anchorId="19243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36.65pt">
            <v:imagedata r:id="rId14" o:title="Supp Figure 2 v0.3"/>
          </v:shape>
        </w:pict>
      </w:r>
    </w:p>
    <w:p w14:paraId="27EB1B3A" w14:textId="77777777" w:rsidR="004E155E" w:rsidRDefault="004E155E" w:rsidP="004E155E">
      <w:pPr>
        <w:spacing w:after="160" w:line="240" w:lineRule="auto"/>
        <w:jc w:val="both"/>
        <w:rPr>
          <w:sz w:val="20"/>
          <w:szCs w:val="20"/>
          <w:lang w:val="en-US"/>
        </w:rPr>
      </w:pPr>
      <w:proofErr w:type="gramStart"/>
      <w:r w:rsidRPr="006B4BCA">
        <w:rPr>
          <w:b/>
          <w:bCs/>
          <w:sz w:val="20"/>
          <w:szCs w:val="20"/>
        </w:rPr>
        <w:t xml:space="preserve">Supplementary Figure </w:t>
      </w:r>
      <w:r>
        <w:rPr>
          <w:b/>
          <w:bCs/>
          <w:sz w:val="20"/>
          <w:szCs w:val="20"/>
        </w:rPr>
        <w:t>3</w:t>
      </w:r>
      <w:r>
        <w:rPr>
          <w:sz w:val="20"/>
          <w:szCs w:val="20"/>
        </w:rPr>
        <w:t>.</w:t>
      </w:r>
      <w:proofErr w:type="gramEnd"/>
      <w:r>
        <w:rPr>
          <w:sz w:val="20"/>
          <w:szCs w:val="20"/>
        </w:rPr>
        <w:t xml:space="preserve"> </w:t>
      </w:r>
      <w:r w:rsidRPr="00011D7D">
        <w:rPr>
          <w:b/>
          <w:bCs/>
          <w:sz w:val="20"/>
          <w:szCs w:val="20"/>
        </w:rPr>
        <w:t xml:space="preserve">Anthropomorphic cue </w:t>
      </w:r>
      <w:r>
        <w:rPr>
          <w:b/>
          <w:bCs/>
          <w:sz w:val="20"/>
          <w:szCs w:val="20"/>
        </w:rPr>
        <w:t>is not necessary for successful decoder performance</w:t>
      </w:r>
      <w:r w:rsidRPr="00011D7D">
        <w:rPr>
          <w:b/>
          <w:bCs/>
          <w:sz w:val="20"/>
          <w:szCs w:val="20"/>
        </w:rPr>
        <w:t>.</w:t>
      </w:r>
      <w:r w:rsidRPr="006B4BCA">
        <w:rPr>
          <w:sz w:val="20"/>
          <w:szCs w:val="20"/>
        </w:rPr>
        <w:t xml:space="preserve"> </w:t>
      </w:r>
      <w:r w:rsidRPr="006B4BCA">
        <w:rPr>
          <w:b/>
          <w:bCs/>
          <w:sz w:val="20"/>
          <w:szCs w:val="20"/>
        </w:rPr>
        <w:t xml:space="preserve">a. </w:t>
      </w:r>
      <w:r w:rsidRPr="006B4BCA">
        <w:rPr>
          <w:sz w:val="20"/>
          <w:szCs w:val="20"/>
        </w:rPr>
        <w:t xml:space="preserve">Illustration of cue types within the training sets. </w:t>
      </w:r>
      <w:r w:rsidRPr="006B4BCA">
        <w:rPr>
          <w:b/>
          <w:bCs/>
          <w:sz w:val="20"/>
          <w:szCs w:val="20"/>
        </w:rPr>
        <w:t xml:space="preserve">b. </w:t>
      </w:r>
      <w:r w:rsidRPr="006B4BCA">
        <w:rPr>
          <w:sz w:val="20"/>
          <w:szCs w:val="20"/>
        </w:rPr>
        <w:t xml:space="preserve">ROC curve for all participants (thin line) and averaged across participants (thick line) when the decoder was trained </w:t>
      </w:r>
      <w:r>
        <w:rPr>
          <w:sz w:val="20"/>
          <w:szCs w:val="20"/>
        </w:rPr>
        <w:t xml:space="preserve">on the </w:t>
      </w:r>
      <w:r w:rsidRPr="006B4BCA">
        <w:rPr>
          <w:sz w:val="20"/>
          <w:szCs w:val="20"/>
        </w:rPr>
        <w:t xml:space="preserve">bar </w:t>
      </w:r>
      <w:r>
        <w:rPr>
          <w:sz w:val="20"/>
          <w:szCs w:val="20"/>
        </w:rPr>
        <w:t>and</w:t>
      </w:r>
      <w:r w:rsidRPr="006B4BCA">
        <w:rPr>
          <w:sz w:val="20"/>
          <w:szCs w:val="20"/>
        </w:rPr>
        <w:t xml:space="preserve"> knee cue</w:t>
      </w:r>
      <w:r>
        <w:rPr>
          <w:sz w:val="20"/>
          <w:szCs w:val="20"/>
        </w:rPr>
        <w:t>s</w:t>
      </w:r>
      <w:r w:rsidRPr="006B4BCA">
        <w:rPr>
          <w:sz w:val="20"/>
          <w:szCs w:val="20"/>
        </w:rPr>
        <w:t xml:space="preserve"> </w:t>
      </w:r>
      <w:r w:rsidRPr="006B4BCA">
        <w:rPr>
          <w:sz w:val="20"/>
          <w:szCs w:val="20"/>
          <w:lang w:val="en-US"/>
        </w:rPr>
        <w:t xml:space="preserve">and tested on cued </w:t>
      </w:r>
      <w:r>
        <w:rPr>
          <w:sz w:val="20"/>
          <w:szCs w:val="20"/>
          <w:lang w:val="en-US"/>
        </w:rPr>
        <w:t>movements</w:t>
      </w:r>
      <w:r w:rsidRPr="006B4BCA">
        <w:rPr>
          <w:sz w:val="20"/>
          <w:szCs w:val="20"/>
          <w:lang w:val="en-US"/>
        </w:rPr>
        <w:t xml:space="preserve">. </w:t>
      </w:r>
      <w:r w:rsidRPr="006B4BCA">
        <w:rPr>
          <w:b/>
          <w:bCs/>
          <w:sz w:val="20"/>
          <w:szCs w:val="20"/>
          <w:lang w:val="en-US"/>
        </w:rPr>
        <w:t xml:space="preserve">c. </w:t>
      </w:r>
      <w:r w:rsidRPr="006B4BCA">
        <w:rPr>
          <w:sz w:val="20"/>
          <w:szCs w:val="20"/>
        </w:rPr>
        <w:t xml:space="preserve">ROC curve for all participants (thin line) and averaged across participants (thick line) when the decoder was trained </w:t>
      </w:r>
      <w:r>
        <w:rPr>
          <w:sz w:val="20"/>
          <w:szCs w:val="20"/>
        </w:rPr>
        <w:t>on bar and knee cues</w:t>
      </w:r>
      <w:r w:rsidRPr="006B4BCA">
        <w:rPr>
          <w:sz w:val="20"/>
          <w:szCs w:val="20"/>
        </w:rPr>
        <w:t xml:space="preserve"> </w:t>
      </w:r>
      <w:r w:rsidRPr="006B4BCA">
        <w:rPr>
          <w:sz w:val="20"/>
          <w:szCs w:val="20"/>
          <w:lang w:val="en-US"/>
        </w:rPr>
        <w:t xml:space="preserve">and tested on </w:t>
      </w:r>
      <w:proofErr w:type="spellStart"/>
      <w:r w:rsidRPr="006B4BCA">
        <w:rPr>
          <w:sz w:val="20"/>
          <w:szCs w:val="20"/>
          <w:lang w:val="en-US"/>
        </w:rPr>
        <w:t>uncued</w:t>
      </w:r>
      <w:proofErr w:type="spellEnd"/>
      <w:r w:rsidRPr="006B4BCA">
        <w:rPr>
          <w:sz w:val="20"/>
          <w:szCs w:val="20"/>
          <w:lang w:val="en-US"/>
        </w:rPr>
        <w:t xml:space="preserve"> movement</w:t>
      </w:r>
      <w:r>
        <w:rPr>
          <w:sz w:val="20"/>
          <w:szCs w:val="20"/>
          <w:lang w:val="en-US"/>
        </w:rPr>
        <w:t>.</w:t>
      </w:r>
    </w:p>
    <w:p w14:paraId="01804562" w14:textId="77777777" w:rsidR="004E155E" w:rsidRPr="0013796A" w:rsidRDefault="004E155E" w:rsidP="004E155E">
      <w:pPr>
        <w:spacing w:after="160" w:line="278" w:lineRule="auto"/>
        <w:rPr>
          <w:sz w:val="20"/>
          <w:szCs w:val="20"/>
          <w:lang w:val="en-US"/>
        </w:rPr>
      </w:pPr>
    </w:p>
    <w:p w14:paraId="4F0D7804" w14:textId="77777777" w:rsidR="002E2EC0" w:rsidRDefault="002E2EC0">
      <w:pPr>
        <w:spacing w:after="160" w:line="278" w:lineRule="auto"/>
      </w:pPr>
      <w:bookmarkStart w:id="4" w:name="_GoBack"/>
      <w:bookmarkEnd w:id="4"/>
      <w:r>
        <w:br w:type="page"/>
      </w:r>
    </w:p>
    <w:p w14:paraId="4101D85F" w14:textId="08C55DBB" w:rsidR="002E2EC0" w:rsidRPr="002E2EC0" w:rsidRDefault="002E2EC0" w:rsidP="002E2EC0">
      <w:pPr>
        <w:pStyle w:val="Bibliography"/>
        <w:rPr>
          <w:b/>
          <w:bCs/>
        </w:rPr>
      </w:pPr>
      <w:r w:rsidRPr="002E2EC0">
        <w:rPr>
          <w:b/>
          <w:bCs/>
        </w:rPr>
        <w:lastRenderedPageBreak/>
        <w:t>Supplementary Materials References:</w:t>
      </w:r>
    </w:p>
    <w:p w14:paraId="4F681E4F" w14:textId="480D4AF8" w:rsidR="002E2EC0" w:rsidRPr="002E2EC0" w:rsidRDefault="002E2EC0" w:rsidP="002E2EC0">
      <w:pPr>
        <w:pStyle w:val="Bibliography"/>
      </w:pPr>
      <w:r>
        <w:fldChar w:fldCharType="begin"/>
      </w:r>
      <w:r>
        <w:instrText xml:space="preserve"> ADDIN ZOTERO_BIBL {"uncited":[],"omitted":[],"custom":[]} CSL_BIBLIOGRAPHY </w:instrText>
      </w:r>
      <w:r>
        <w:fldChar w:fldCharType="separate"/>
      </w:r>
      <w:r w:rsidRPr="002E2EC0">
        <w:t>1.</w:t>
      </w:r>
      <w:r w:rsidRPr="002E2EC0">
        <w:tab/>
        <w:t xml:space="preserve">Wagner FB, Mignardot JB, Le Goff-Mignardot CG, Demesmaeker R, Komi S, Capogrosso M, et al. Targeted neurotechnology restores walking in humans with spinal cord injury. Nature. 2018 Nov 1;563(7729):65–71. </w:t>
      </w:r>
    </w:p>
    <w:p w14:paraId="685F8F6B" w14:textId="77777777" w:rsidR="002E2EC0" w:rsidRPr="002E2EC0" w:rsidRDefault="002E2EC0" w:rsidP="002E2EC0">
      <w:pPr>
        <w:pStyle w:val="Bibliography"/>
      </w:pPr>
      <w:r w:rsidRPr="002E2EC0">
        <w:t>2.</w:t>
      </w:r>
      <w:r w:rsidRPr="002E2EC0">
        <w:tab/>
        <w:t xml:space="preserve">Capogrosso M, Milekovic T, Borton D, Wagner F, Moraud EM, Mignardot JB, et al. A brain–spine interface alleviating gait deficits after spinal cord injury in primates. Nature. 2016 Nov;539(7628):284–8. </w:t>
      </w:r>
    </w:p>
    <w:p w14:paraId="350DEA17" w14:textId="77777777" w:rsidR="002E2EC0" w:rsidRPr="002E2EC0" w:rsidRDefault="002E2EC0" w:rsidP="002E2EC0">
      <w:pPr>
        <w:pStyle w:val="Bibliography"/>
      </w:pPr>
      <w:r w:rsidRPr="002E2EC0">
        <w:t>3.</w:t>
      </w:r>
      <w:r w:rsidRPr="002E2EC0">
        <w:tab/>
        <w:t xml:space="preserve">Graebner RW. Study Design with SAS®: Estimating Power with Monte Carlo Methods. </w:t>
      </w:r>
    </w:p>
    <w:p w14:paraId="41F4E6A6" w14:textId="60133908" w:rsidR="0035110D" w:rsidRDefault="002E2EC0">
      <w:r>
        <w:fldChar w:fldCharType="end"/>
      </w:r>
    </w:p>
    <w:sectPr w:rsidR="003511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95F30" w14:textId="77777777" w:rsidR="008E3C46" w:rsidRDefault="008E3C46" w:rsidP="004E155E">
      <w:pPr>
        <w:spacing w:line="240" w:lineRule="auto"/>
      </w:pPr>
      <w:r>
        <w:separator/>
      </w:r>
    </w:p>
  </w:endnote>
  <w:endnote w:type="continuationSeparator" w:id="0">
    <w:p w14:paraId="39D12995" w14:textId="77777777" w:rsidR="008E3C46" w:rsidRDefault="008E3C46" w:rsidP="004E15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191A50" w14:textId="77777777" w:rsidR="008E3C46" w:rsidRDefault="008E3C46" w:rsidP="004E155E">
      <w:pPr>
        <w:spacing w:line="240" w:lineRule="auto"/>
      </w:pPr>
      <w:r>
        <w:separator/>
      </w:r>
    </w:p>
  </w:footnote>
  <w:footnote w:type="continuationSeparator" w:id="0">
    <w:p w14:paraId="55829568" w14:textId="77777777" w:rsidR="008E3C46" w:rsidRDefault="008E3C46" w:rsidP="004E155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3009B"/>
    <w:multiLevelType w:val="hybridMultilevel"/>
    <w:tmpl w:val="FADA20C4"/>
    <w:lvl w:ilvl="0" w:tplc="ADB81806">
      <w:start w:val="1"/>
      <w:numFmt w:val="decimal"/>
      <w:lvlText w:val="%1."/>
      <w:lvlJc w:val="left"/>
      <w:pPr>
        <w:ind w:left="1800" w:hanging="360"/>
      </w:pPr>
      <w:rPr>
        <w:rFonts w:ascii="Arial" w:eastAsiaTheme="minorEastAsia"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6B445C8"/>
    <w:multiLevelType w:val="hybridMultilevel"/>
    <w:tmpl w:val="B3D8E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10D"/>
    <w:rsid w:val="002B46C0"/>
    <w:rsid w:val="002E2EC0"/>
    <w:rsid w:val="0035110D"/>
    <w:rsid w:val="003B06FA"/>
    <w:rsid w:val="003C7C3A"/>
    <w:rsid w:val="004D0CB6"/>
    <w:rsid w:val="004E155E"/>
    <w:rsid w:val="00715583"/>
    <w:rsid w:val="007271C9"/>
    <w:rsid w:val="00794BE2"/>
    <w:rsid w:val="008E3C46"/>
    <w:rsid w:val="00B60E33"/>
    <w:rsid w:val="00D05B60"/>
    <w:rsid w:val="00E56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B3A6C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55E"/>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3511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1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1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1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1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1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1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1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1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1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1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1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1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10D"/>
    <w:rPr>
      <w:rFonts w:eastAsiaTheme="majorEastAsia" w:cstheme="majorBidi"/>
      <w:color w:val="272727" w:themeColor="text1" w:themeTint="D8"/>
    </w:rPr>
  </w:style>
  <w:style w:type="paragraph" w:styleId="Title">
    <w:name w:val="Title"/>
    <w:basedOn w:val="Normal"/>
    <w:next w:val="Normal"/>
    <w:link w:val="TitleChar"/>
    <w:uiPriority w:val="10"/>
    <w:qFormat/>
    <w:rsid w:val="00351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10D"/>
    <w:pPr>
      <w:spacing w:before="160"/>
      <w:jc w:val="center"/>
    </w:pPr>
    <w:rPr>
      <w:i/>
      <w:iCs/>
      <w:color w:val="404040" w:themeColor="text1" w:themeTint="BF"/>
    </w:rPr>
  </w:style>
  <w:style w:type="character" w:customStyle="1" w:styleId="QuoteChar">
    <w:name w:val="Quote Char"/>
    <w:basedOn w:val="DefaultParagraphFont"/>
    <w:link w:val="Quote"/>
    <w:uiPriority w:val="29"/>
    <w:rsid w:val="0035110D"/>
    <w:rPr>
      <w:i/>
      <w:iCs/>
      <w:color w:val="404040" w:themeColor="text1" w:themeTint="BF"/>
    </w:rPr>
  </w:style>
  <w:style w:type="paragraph" w:styleId="ListParagraph">
    <w:name w:val="List Paragraph"/>
    <w:basedOn w:val="Normal"/>
    <w:uiPriority w:val="34"/>
    <w:qFormat/>
    <w:rsid w:val="0035110D"/>
    <w:pPr>
      <w:ind w:left="720"/>
      <w:contextualSpacing/>
    </w:pPr>
  </w:style>
  <w:style w:type="character" w:styleId="IntenseEmphasis">
    <w:name w:val="Intense Emphasis"/>
    <w:basedOn w:val="DefaultParagraphFont"/>
    <w:uiPriority w:val="21"/>
    <w:qFormat/>
    <w:rsid w:val="0035110D"/>
    <w:rPr>
      <w:i/>
      <w:iCs/>
      <w:color w:val="0F4761" w:themeColor="accent1" w:themeShade="BF"/>
    </w:rPr>
  </w:style>
  <w:style w:type="paragraph" w:styleId="IntenseQuote">
    <w:name w:val="Intense Quote"/>
    <w:basedOn w:val="Normal"/>
    <w:next w:val="Normal"/>
    <w:link w:val="IntenseQuoteChar"/>
    <w:uiPriority w:val="30"/>
    <w:qFormat/>
    <w:rsid w:val="003511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10D"/>
    <w:rPr>
      <w:i/>
      <w:iCs/>
      <w:color w:val="0F4761" w:themeColor="accent1" w:themeShade="BF"/>
    </w:rPr>
  </w:style>
  <w:style w:type="character" w:styleId="IntenseReference">
    <w:name w:val="Intense Reference"/>
    <w:basedOn w:val="DefaultParagraphFont"/>
    <w:uiPriority w:val="32"/>
    <w:qFormat/>
    <w:rsid w:val="0035110D"/>
    <w:rPr>
      <w:b/>
      <w:bCs/>
      <w:smallCaps/>
      <w:color w:val="0F4761" w:themeColor="accent1" w:themeShade="BF"/>
      <w:spacing w:val="5"/>
    </w:rPr>
  </w:style>
  <w:style w:type="paragraph" w:styleId="Header">
    <w:name w:val="header"/>
    <w:basedOn w:val="Normal"/>
    <w:link w:val="HeaderChar"/>
    <w:uiPriority w:val="99"/>
    <w:unhideWhenUsed/>
    <w:rsid w:val="004E155E"/>
    <w:pPr>
      <w:tabs>
        <w:tab w:val="center" w:pos="4680"/>
        <w:tab w:val="right" w:pos="9360"/>
      </w:tabs>
      <w:spacing w:line="240" w:lineRule="auto"/>
    </w:pPr>
  </w:style>
  <w:style w:type="character" w:customStyle="1" w:styleId="HeaderChar">
    <w:name w:val="Header Char"/>
    <w:basedOn w:val="DefaultParagraphFont"/>
    <w:link w:val="Header"/>
    <w:uiPriority w:val="99"/>
    <w:rsid w:val="004E155E"/>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4E155E"/>
    <w:pPr>
      <w:tabs>
        <w:tab w:val="center" w:pos="4680"/>
        <w:tab w:val="right" w:pos="9360"/>
      </w:tabs>
      <w:spacing w:line="240" w:lineRule="auto"/>
    </w:pPr>
  </w:style>
  <w:style w:type="character" w:customStyle="1" w:styleId="FooterChar">
    <w:name w:val="Footer Char"/>
    <w:basedOn w:val="DefaultParagraphFont"/>
    <w:link w:val="Footer"/>
    <w:uiPriority w:val="99"/>
    <w:rsid w:val="004E155E"/>
    <w:rPr>
      <w:rFonts w:ascii="Arial" w:eastAsia="Arial" w:hAnsi="Arial" w:cs="Arial"/>
      <w:kern w:val="0"/>
      <w:sz w:val="22"/>
      <w:szCs w:val="22"/>
      <w:lang w:val="en"/>
      <w14:ligatures w14:val="none"/>
    </w:rPr>
  </w:style>
  <w:style w:type="paragraph" w:styleId="Bibliography">
    <w:name w:val="Bibliography"/>
    <w:basedOn w:val="Normal"/>
    <w:next w:val="Normal"/>
    <w:uiPriority w:val="37"/>
    <w:unhideWhenUsed/>
    <w:rsid w:val="002E2EC0"/>
    <w:pPr>
      <w:tabs>
        <w:tab w:val="left" w:pos="264"/>
      </w:tabs>
      <w:spacing w:after="240" w:line="240" w:lineRule="auto"/>
      <w:ind w:left="264" w:hanging="264"/>
    </w:pPr>
  </w:style>
  <w:style w:type="paragraph" w:styleId="BalloonText">
    <w:name w:val="Balloon Text"/>
    <w:basedOn w:val="Normal"/>
    <w:link w:val="BalloonTextChar"/>
    <w:uiPriority w:val="99"/>
    <w:semiHidden/>
    <w:unhideWhenUsed/>
    <w:rsid w:val="0071558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583"/>
    <w:rPr>
      <w:rFonts w:ascii="Tahoma" w:eastAsia="Arial" w:hAnsi="Tahoma" w:cs="Tahoma"/>
      <w:kern w:val="0"/>
      <w:sz w:val="16"/>
      <w:szCs w:val="16"/>
      <w:lang w:val="en"/>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55E"/>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3511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1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1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1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1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1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1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1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1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1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1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1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1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10D"/>
    <w:rPr>
      <w:rFonts w:eastAsiaTheme="majorEastAsia" w:cstheme="majorBidi"/>
      <w:color w:val="272727" w:themeColor="text1" w:themeTint="D8"/>
    </w:rPr>
  </w:style>
  <w:style w:type="paragraph" w:styleId="Title">
    <w:name w:val="Title"/>
    <w:basedOn w:val="Normal"/>
    <w:next w:val="Normal"/>
    <w:link w:val="TitleChar"/>
    <w:uiPriority w:val="10"/>
    <w:qFormat/>
    <w:rsid w:val="00351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10D"/>
    <w:pPr>
      <w:spacing w:before="160"/>
      <w:jc w:val="center"/>
    </w:pPr>
    <w:rPr>
      <w:i/>
      <w:iCs/>
      <w:color w:val="404040" w:themeColor="text1" w:themeTint="BF"/>
    </w:rPr>
  </w:style>
  <w:style w:type="character" w:customStyle="1" w:styleId="QuoteChar">
    <w:name w:val="Quote Char"/>
    <w:basedOn w:val="DefaultParagraphFont"/>
    <w:link w:val="Quote"/>
    <w:uiPriority w:val="29"/>
    <w:rsid w:val="0035110D"/>
    <w:rPr>
      <w:i/>
      <w:iCs/>
      <w:color w:val="404040" w:themeColor="text1" w:themeTint="BF"/>
    </w:rPr>
  </w:style>
  <w:style w:type="paragraph" w:styleId="ListParagraph">
    <w:name w:val="List Paragraph"/>
    <w:basedOn w:val="Normal"/>
    <w:uiPriority w:val="34"/>
    <w:qFormat/>
    <w:rsid w:val="0035110D"/>
    <w:pPr>
      <w:ind w:left="720"/>
      <w:contextualSpacing/>
    </w:pPr>
  </w:style>
  <w:style w:type="character" w:styleId="IntenseEmphasis">
    <w:name w:val="Intense Emphasis"/>
    <w:basedOn w:val="DefaultParagraphFont"/>
    <w:uiPriority w:val="21"/>
    <w:qFormat/>
    <w:rsid w:val="0035110D"/>
    <w:rPr>
      <w:i/>
      <w:iCs/>
      <w:color w:val="0F4761" w:themeColor="accent1" w:themeShade="BF"/>
    </w:rPr>
  </w:style>
  <w:style w:type="paragraph" w:styleId="IntenseQuote">
    <w:name w:val="Intense Quote"/>
    <w:basedOn w:val="Normal"/>
    <w:next w:val="Normal"/>
    <w:link w:val="IntenseQuoteChar"/>
    <w:uiPriority w:val="30"/>
    <w:qFormat/>
    <w:rsid w:val="003511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10D"/>
    <w:rPr>
      <w:i/>
      <w:iCs/>
      <w:color w:val="0F4761" w:themeColor="accent1" w:themeShade="BF"/>
    </w:rPr>
  </w:style>
  <w:style w:type="character" w:styleId="IntenseReference">
    <w:name w:val="Intense Reference"/>
    <w:basedOn w:val="DefaultParagraphFont"/>
    <w:uiPriority w:val="32"/>
    <w:qFormat/>
    <w:rsid w:val="0035110D"/>
    <w:rPr>
      <w:b/>
      <w:bCs/>
      <w:smallCaps/>
      <w:color w:val="0F4761" w:themeColor="accent1" w:themeShade="BF"/>
      <w:spacing w:val="5"/>
    </w:rPr>
  </w:style>
  <w:style w:type="paragraph" w:styleId="Header">
    <w:name w:val="header"/>
    <w:basedOn w:val="Normal"/>
    <w:link w:val="HeaderChar"/>
    <w:uiPriority w:val="99"/>
    <w:unhideWhenUsed/>
    <w:rsid w:val="004E155E"/>
    <w:pPr>
      <w:tabs>
        <w:tab w:val="center" w:pos="4680"/>
        <w:tab w:val="right" w:pos="9360"/>
      </w:tabs>
      <w:spacing w:line="240" w:lineRule="auto"/>
    </w:pPr>
  </w:style>
  <w:style w:type="character" w:customStyle="1" w:styleId="HeaderChar">
    <w:name w:val="Header Char"/>
    <w:basedOn w:val="DefaultParagraphFont"/>
    <w:link w:val="Header"/>
    <w:uiPriority w:val="99"/>
    <w:rsid w:val="004E155E"/>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4E155E"/>
    <w:pPr>
      <w:tabs>
        <w:tab w:val="center" w:pos="4680"/>
        <w:tab w:val="right" w:pos="9360"/>
      </w:tabs>
      <w:spacing w:line="240" w:lineRule="auto"/>
    </w:pPr>
  </w:style>
  <w:style w:type="character" w:customStyle="1" w:styleId="FooterChar">
    <w:name w:val="Footer Char"/>
    <w:basedOn w:val="DefaultParagraphFont"/>
    <w:link w:val="Footer"/>
    <w:uiPriority w:val="99"/>
    <w:rsid w:val="004E155E"/>
    <w:rPr>
      <w:rFonts w:ascii="Arial" w:eastAsia="Arial" w:hAnsi="Arial" w:cs="Arial"/>
      <w:kern w:val="0"/>
      <w:sz w:val="22"/>
      <w:szCs w:val="22"/>
      <w:lang w:val="en"/>
      <w14:ligatures w14:val="none"/>
    </w:rPr>
  </w:style>
  <w:style w:type="paragraph" w:styleId="Bibliography">
    <w:name w:val="Bibliography"/>
    <w:basedOn w:val="Normal"/>
    <w:next w:val="Normal"/>
    <w:uiPriority w:val="37"/>
    <w:unhideWhenUsed/>
    <w:rsid w:val="002E2EC0"/>
    <w:pPr>
      <w:tabs>
        <w:tab w:val="left" w:pos="264"/>
      </w:tabs>
      <w:spacing w:after="240" w:line="240" w:lineRule="auto"/>
      <w:ind w:left="264" w:hanging="264"/>
    </w:pPr>
  </w:style>
  <w:style w:type="paragraph" w:styleId="BalloonText">
    <w:name w:val="Balloon Text"/>
    <w:basedOn w:val="Normal"/>
    <w:link w:val="BalloonTextChar"/>
    <w:uiPriority w:val="99"/>
    <w:semiHidden/>
    <w:unhideWhenUsed/>
    <w:rsid w:val="0071558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583"/>
    <w:rPr>
      <w:rFonts w:ascii="Tahoma" w:eastAsia="Arial" w:hAnsi="Tahoma" w:cs="Tahoma"/>
      <w:kern w:val="0"/>
      <w:sz w:val="16"/>
      <w:szCs w:val="16"/>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2001</Words>
  <Characters>11412</Characters>
  <Application>Microsoft Office Word</Application>
  <DocSecurity>0</DocSecurity>
  <Lines>95</Lines>
  <Paragraphs>26</Paragraphs>
  <ScaleCrop>false</ScaleCrop>
  <Company/>
  <LinksUpToDate>false</LinksUpToDate>
  <CharactersWithSpaces>13387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seanez lab</dc:creator>
  <cp:keywords/>
  <dc:description/>
  <cp:lastModifiedBy>hp</cp:lastModifiedBy>
  <cp:revision>7</cp:revision>
  <cp:lastPrinted>2025-01-28T17:41:00Z</cp:lastPrinted>
  <dcterms:created xsi:type="dcterms:W3CDTF">2025-01-23T21:48:00Z</dcterms:created>
  <dcterms:modified xsi:type="dcterms:W3CDTF">2025-04-24T12:44:00Z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id="k4I9Kd7Y"/&gt;&lt;style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