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FFAC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EEG microstate features under visual feedback gain conditions exhibit high sensitivity in identifying early Parkinson’s disease patients</w:t>
      </w:r>
    </w:p>
    <w:p w14:paraId="2F56B9CA">
      <w:pPr>
        <w:spacing w:line="360" w:lineRule="auto"/>
        <w:ind w:left="240" w:hanging="240" w:hangingChars="100"/>
        <w:jc w:val="left"/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</w:pPr>
      <w:r>
        <w:rPr>
          <w:rFonts w:hint="eastAsia" w:ascii="Times New Roman" w:hAnsi="Times New Roman" w:eastAsia="等线" w:cs="Times New Roman"/>
          <w:color w:val="auto"/>
          <w:sz w:val="24"/>
          <w:lang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4"/>
          <w:lang w:bidi="ar"/>
        </w:rPr>
        <w:t>Zhixian Gao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&amp;</w:t>
      </w:r>
      <w:r>
        <w:rPr>
          <w:rFonts w:hint="eastAsia" w:ascii="Times New Roman" w:hAnsi="Times New Roman" w:eastAsia="等线" w:cs="Times New Roman"/>
          <w:color w:val="auto"/>
          <w:sz w:val="24"/>
          <w:lang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Shiyang Lv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b,&amp;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Xiangying Ran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c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>Chunjin Du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Mengsheng Xia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bidi="ar"/>
        </w:rPr>
        <w:t>,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Maoyun Zhao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f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,g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Yibo Xie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f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,g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Panpan Tian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f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,g</w:t>
      </w:r>
      <w:r>
        <w:rPr>
          <w:rFonts w:hint="eastAsia" w:ascii="Times New Roman" w:hAnsi="Times New Roman" w:eastAsia="等线" w:cs="Times New Roman"/>
          <w:sz w:val="24"/>
          <w:lang w:bidi="ar"/>
        </w:rPr>
        <w:t>, Wu Ren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Zongya Zhao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bidi="ar"/>
        </w:rPr>
        <w:t>, Ting Pang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bidi="ar"/>
        </w:rPr>
        <w:t>, Xuezhi Zhou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, 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>Chang Wang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>, Hongxia Xing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f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,g,*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 xml:space="preserve">, </w:t>
      </w:r>
      <w:r>
        <w:rPr>
          <w:rFonts w:ascii="Times New Roman" w:hAnsi="Times New Roman" w:eastAsia="等线" w:cs="Times New Roman"/>
          <w:sz w:val="24"/>
          <w:lang w:bidi="ar"/>
        </w:rPr>
        <w:t>Yi Yu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*</w:t>
      </w:r>
      <w:r>
        <w:rPr>
          <w:rFonts w:hint="eastAsia" w:ascii="Times New Roman" w:hAnsi="Times New Roman" w:eastAsia="等线" w:cs="Times New Roman"/>
          <w:sz w:val="24"/>
          <w:lang w:bidi="ar"/>
        </w:rPr>
        <w:t>,</w:t>
      </w:r>
      <w:r>
        <w:rPr>
          <w:rFonts w:hint="eastAsia" w:ascii="Times New Roman" w:hAnsi="Times New Roman" w:eastAsia="等线" w:cs="Times New Roman"/>
          <w:color w:val="auto"/>
          <w:sz w:val="24"/>
          <w:lang w:bidi="ar"/>
        </w:rPr>
        <w:t>Yehong</w:t>
      </w:r>
      <w:r>
        <w:rPr>
          <w:rFonts w:ascii="Times New Roman" w:hAnsi="Times New Roman" w:eastAsia="等线" w:cs="Times New Roman"/>
          <w:color w:val="auto"/>
          <w:sz w:val="24"/>
          <w:lang w:bidi="ar"/>
        </w:rPr>
        <w:t xml:space="preserve"> Zh</w:t>
      </w:r>
      <w:r>
        <w:rPr>
          <w:rFonts w:hint="eastAsia" w:ascii="Times New Roman" w:hAnsi="Times New Roman" w:eastAsia="等线" w:cs="Times New Roman"/>
          <w:color w:val="auto"/>
          <w:sz w:val="24"/>
          <w:lang w:bidi="ar"/>
        </w:rPr>
        <w:t>ang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,</w:t>
      </w: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hint="eastAsia" w:ascii="Times New Roman" w:hAnsi="Times New Roman" w:eastAsia="等线" w:cs="Times New Roman"/>
          <w:color w:val="auto"/>
          <w:sz w:val="24"/>
          <w:vertAlign w:val="superscript"/>
          <w:lang w:val="en-US" w:eastAsia="zh-CN" w:bidi="ar"/>
        </w:rPr>
        <w:t>,</w:t>
      </w:r>
      <w:r>
        <w:rPr>
          <w:rFonts w:ascii="Times New Roman" w:hAnsi="Times New Roman" w:eastAsia="等线" w:cs="Times New Roman"/>
          <w:color w:val="auto"/>
          <w:sz w:val="24"/>
          <w:vertAlign w:val="superscript"/>
          <w:lang w:bidi="ar"/>
        </w:rPr>
        <w:t>*</w:t>
      </w:r>
    </w:p>
    <w:p w14:paraId="2D2255DF">
      <w:pPr>
        <w:spacing w:line="360" w:lineRule="auto"/>
        <w:jc w:val="left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a</w:t>
      </w:r>
      <w:r>
        <w:rPr>
          <w:rFonts w:ascii="Times New Roman" w:hAnsi="Times New Roman" w:eastAsia="等线" w:cs="Times New Roman"/>
          <w:sz w:val="24"/>
          <w:lang w:bidi="ar"/>
        </w:rPr>
        <w:t xml:space="preserve"> School of Medical Engineering, Xinxiang Medical University, Xinxiang, People’s Republic of China</w:t>
      </w:r>
    </w:p>
    <w:p w14:paraId="2D370DDE">
      <w:pPr>
        <w:spacing w:line="360" w:lineRule="auto"/>
        <w:jc w:val="left"/>
        <w:rPr>
          <w:rFonts w:hint="default" w:ascii="Times New Roman" w:hAnsi="Times New Roman" w:eastAsia="等线" w:cs="Times New Roman"/>
          <w:sz w:val="24"/>
          <w:lang w:val="en-US" w:eastAsia="zh-CN"/>
        </w:rPr>
      </w:pP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b</w:t>
      </w:r>
      <w:r>
        <w:rPr>
          <w:rFonts w:ascii="Times New Roman" w:hAnsi="Times New Roman" w:eastAsia="等线" w:cs="Times New Roman"/>
          <w:color w:val="0000FF"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lang w:bidi="ar"/>
        </w:rPr>
        <w:t>Department of Radiology, Minhang Branch, Fudan University Shanghai Cancer Center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 xml:space="preserve">, Shanghai, </w:t>
      </w:r>
      <w:r>
        <w:rPr>
          <w:rFonts w:ascii="Times New Roman" w:hAnsi="Times New Roman" w:eastAsia="等线" w:cs="Times New Roman"/>
          <w:sz w:val="24"/>
          <w:lang w:bidi="ar"/>
        </w:rPr>
        <w:t>People’s Republic of China</w:t>
      </w:r>
    </w:p>
    <w:p w14:paraId="649CE368">
      <w:pPr>
        <w:spacing w:line="360" w:lineRule="auto"/>
        <w:jc w:val="left"/>
        <w:rPr>
          <w:rFonts w:hint="default" w:ascii="Times New Roman" w:hAnsi="Times New Roman" w:eastAsia="等线" w:cs="Times New Roman"/>
          <w:sz w:val="24"/>
          <w:lang w:val="en-US" w:eastAsia="zh-CN"/>
        </w:rPr>
      </w:pP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 xml:space="preserve">C </w:t>
      </w:r>
      <w:r>
        <w:rPr>
          <w:rFonts w:hint="default" w:ascii="Times New Roman" w:hAnsi="Times New Roman" w:eastAsia="等线" w:cs="Times New Roman"/>
          <w:color w:val="auto"/>
          <w:sz w:val="24"/>
          <w:lang w:bidi="ar"/>
        </w:rPr>
        <w:t>Department</w:t>
      </w:r>
      <w:r>
        <w:rPr>
          <w:rFonts w:hint="default" w:ascii="Times New Roman" w:hAnsi="Times New Roman" w:eastAsia="等线" w:cs="Times New Roman"/>
          <w:color w:val="auto"/>
          <w:sz w:val="24"/>
          <w:lang w:val="en-US" w:eastAsia="zh-CN" w:bidi="ar"/>
        </w:rPr>
        <w:t xml:space="preserve"> of Medical Engineering, Medical Security Center, Shanghai </w:t>
      </w:r>
      <w:r>
        <w:rPr>
          <w:rFonts w:hint="default" w:ascii="Times New Roman" w:hAnsi="Times New Roman" w:eastAsia="等线" w:cs="Times New Roman"/>
          <w:color w:val="auto"/>
          <w:sz w:val="24"/>
          <w:lang w:bidi="ar"/>
        </w:rPr>
        <w:t>Eastern Hepatobiliary Surgery Hospital</w:t>
      </w:r>
      <w:r>
        <w:rPr>
          <w:rFonts w:hint="eastAsia" w:ascii="Times New Roman" w:hAnsi="Times New Roman" w:eastAsia="等线" w:cs="Times New Roman"/>
          <w:color w:val="auto"/>
          <w:sz w:val="24"/>
          <w:lang w:val="en-US" w:eastAsia="zh-CN" w:bidi="ar"/>
        </w:rPr>
        <w:t xml:space="preserve">, </w:t>
      </w:r>
      <w:r>
        <w:rPr>
          <w:rFonts w:hint="eastAsia" w:ascii="Times New Roman" w:hAnsi="Times New Roman" w:eastAsia="等线" w:cs="Times New Roman"/>
          <w:sz w:val="24"/>
          <w:lang w:val="en-US" w:eastAsia="zh-CN" w:bidi="ar"/>
        </w:rPr>
        <w:t xml:space="preserve">Shanghai, </w:t>
      </w:r>
      <w:r>
        <w:rPr>
          <w:rFonts w:ascii="Times New Roman" w:hAnsi="Times New Roman" w:eastAsia="等线" w:cs="Times New Roman"/>
          <w:sz w:val="24"/>
          <w:lang w:bidi="ar"/>
        </w:rPr>
        <w:t>People’s Republic of China</w:t>
      </w:r>
    </w:p>
    <w:p w14:paraId="19451D89">
      <w:pPr>
        <w:spacing w:line="360" w:lineRule="auto"/>
        <w:jc w:val="left"/>
        <w:rPr>
          <w:rFonts w:ascii="Times New Roman" w:hAnsi="Times New Roman" w:eastAsia="等线" w:cs="Times New Roman"/>
          <w:sz w:val="24"/>
        </w:rPr>
      </w:pP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d</w:t>
      </w:r>
      <w:r>
        <w:rPr>
          <w:rFonts w:ascii="Times New Roman" w:hAnsi="Times New Roman" w:eastAsia="等线" w:cs="Times New Roman"/>
          <w:color w:val="0000FF"/>
          <w:sz w:val="24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Engineering Technology Research Center of Neurosense and Control of Henan Province, Xinxiang, People’s Republic of China</w:t>
      </w:r>
    </w:p>
    <w:p w14:paraId="0B8ADC3A">
      <w:pPr>
        <w:spacing w:line="360" w:lineRule="auto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e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Henan International Joint Laboratory of Neural Information Analysis and Drug Intelligent Design, Xinxiang, People’s Republic of China</w:t>
      </w:r>
    </w:p>
    <w:p w14:paraId="317299C2">
      <w:pPr>
        <w:spacing w:line="360" w:lineRule="auto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f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Institute of Physical Education, Xinxiang Medical University, Xinxiang</w:t>
      </w:r>
      <w:r>
        <w:rPr>
          <w:rFonts w:hint="eastAsia" w:ascii="Times New Roman" w:hAnsi="Times New Roman" w:eastAsia="等线" w:cs="Times New Roman"/>
          <w:sz w:val="24"/>
          <w:lang w:bidi="ar"/>
        </w:rPr>
        <w:t>,</w:t>
      </w:r>
      <w:r>
        <w:rPr>
          <w:rFonts w:ascii="Times New Roman" w:hAnsi="Times New Roman" w:eastAsia="等线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lang w:bidi="ar"/>
        </w:rPr>
        <w:t>People</w:t>
      </w:r>
      <w:r>
        <w:rPr>
          <w:rFonts w:ascii="Times New Roman" w:hAnsi="Times New Roman" w:eastAsia="等线" w:cs="Times New Roman"/>
          <w:sz w:val="24"/>
          <w:lang w:bidi="ar"/>
        </w:rPr>
        <w:t>’</w:t>
      </w:r>
      <w:r>
        <w:rPr>
          <w:rFonts w:hint="eastAsia" w:ascii="Times New Roman" w:hAnsi="Times New Roman" w:eastAsia="等线" w:cs="Times New Roman"/>
          <w:sz w:val="24"/>
          <w:lang w:bidi="ar"/>
        </w:rPr>
        <w:t>s Republic of China</w:t>
      </w:r>
    </w:p>
    <w:p w14:paraId="62C60667">
      <w:pPr>
        <w:spacing w:line="360" w:lineRule="auto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rPr>
          <w:rFonts w:hint="eastAsia" w:ascii="Times New Roman" w:hAnsi="Times New Roman" w:eastAsia="等线" w:cs="Times New Roman"/>
          <w:color w:val="0000FF"/>
          <w:sz w:val="24"/>
          <w:vertAlign w:val="superscript"/>
          <w:lang w:val="en-US" w:eastAsia="zh-CN" w:bidi="ar"/>
        </w:rPr>
        <w:t>g</w:t>
      </w: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Key Laboratory of Movement Disorders, Xinxiang</w:t>
      </w:r>
      <w:r>
        <w:rPr>
          <w:rFonts w:hint="eastAsia" w:ascii="Times New Roman" w:hAnsi="Times New Roman" w:eastAsia="等线" w:cs="Times New Roman"/>
          <w:sz w:val="24"/>
          <w:lang w:bidi="ar"/>
        </w:rPr>
        <w:t>, People</w:t>
      </w:r>
      <w:r>
        <w:rPr>
          <w:rFonts w:ascii="Times New Roman" w:hAnsi="Times New Roman" w:eastAsia="等线" w:cs="Times New Roman"/>
          <w:sz w:val="24"/>
          <w:lang w:bidi="ar"/>
        </w:rPr>
        <w:t>’</w:t>
      </w:r>
      <w:r>
        <w:rPr>
          <w:rFonts w:hint="eastAsia" w:ascii="Times New Roman" w:hAnsi="Times New Roman" w:eastAsia="等线" w:cs="Times New Roman"/>
          <w:sz w:val="24"/>
          <w:lang w:bidi="ar"/>
        </w:rPr>
        <w:t>s Republic of China</w:t>
      </w:r>
    </w:p>
    <w:p w14:paraId="76730EB8">
      <w:pPr>
        <w:spacing w:line="360" w:lineRule="auto"/>
        <w:jc w:val="left"/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</w:pPr>
    </w:p>
    <w:p w14:paraId="56B0825A">
      <w:pPr>
        <w:spacing w:line="360" w:lineRule="auto"/>
        <w:jc w:val="left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color w:val="0000FF"/>
          <w:sz w:val="24"/>
          <w:vertAlign w:val="superscript"/>
          <w:lang w:bidi="ar"/>
        </w:rPr>
        <w:t>&amp;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These authors contributed equally to this work and should be considered co-first authors.</w:t>
      </w:r>
    </w:p>
    <w:p w14:paraId="4C8589B7">
      <w:pPr>
        <w:spacing w:line="360" w:lineRule="auto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rPr>
          <w:rFonts w:ascii="Cambria Math" w:hAnsi="Cambria Math" w:eastAsia="等线" w:cs="Cambria Math"/>
          <w:color w:val="0000FF"/>
          <w:sz w:val="24"/>
          <w:vertAlign w:val="superscript"/>
          <w:lang w:bidi="ar"/>
        </w:rPr>
        <w:t>∗</w:t>
      </w:r>
      <w:r>
        <w:rPr>
          <w:rFonts w:ascii="Times New Roman" w:hAnsi="Times New Roman" w:eastAsia="等线" w:cs="Times New Roman"/>
          <w:sz w:val="24"/>
          <w:lang w:bidi="ar"/>
        </w:rPr>
        <w:t>Authors to whom any correspondence should be addressed.</w:t>
      </w:r>
    </w:p>
    <w:p w14:paraId="3A011536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rPr>
          <w:rFonts w:ascii="Times New Roman" w:hAnsi="Times New Roman" w:eastAsia="等线" w:cs="Times New Roman"/>
          <w:sz w:val="24"/>
          <w:lang w:bidi="ar"/>
        </w:rPr>
        <w:t xml:space="preserve">mail: </w:t>
      </w:r>
      <w:r>
        <w:rPr>
          <w:rStyle w:val="7"/>
          <w:rFonts w:ascii="Times New Roman" w:hAnsi="Times New Roman" w:eastAsia="等线" w:cs="Times New Roman"/>
          <w:sz w:val="24"/>
          <w:lang w:bidi="ar"/>
        </w:rPr>
        <w:fldChar w:fldCharType="begin"/>
      </w:r>
      <w:r>
        <w:rPr>
          <w:rStyle w:val="7"/>
          <w:rFonts w:ascii="Times New Roman" w:hAnsi="Times New Roman" w:eastAsia="等线" w:cs="Times New Roman"/>
          <w:sz w:val="24"/>
          <w:lang w:bidi="ar"/>
        </w:rPr>
        <w:instrText xml:space="preserve"> HYPERLINK "mailto:yhzhang@xxmu.edu.cn" </w:instrText>
      </w:r>
      <w:r>
        <w:rPr>
          <w:rStyle w:val="7"/>
          <w:rFonts w:ascii="Times New Roman" w:hAnsi="Times New Roman" w:eastAsia="等线" w:cs="Times New Roman"/>
          <w:sz w:val="24"/>
          <w:lang w:bidi="ar"/>
        </w:rPr>
        <w:fldChar w:fldCharType="separate"/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t>yhzhang@xxmu.edu.cn</w:t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fldChar w:fldCharType="end"/>
      </w:r>
    </w:p>
    <w:p w14:paraId="56978964">
      <w:pPr>
        <w:spacing w:line="360" w:lineRule="auto"/>
        <w:ind w:firstLine="840" w:firstLineChars="400"/>
        <w:jc w:val="left"/>
        <w:rPr>
          <w:rFonts w:ascii="Times New Roman" w:hAnsi="Times New Roman" w:eastAsia="等线" w:cs="Times New Roman"/>
          <w:sz w:val="24"/>
          <w:lang w:bidi="ar"/>
        </w:rPr>
      </w:pPr>
      <w:r>
        <w:fldChar w:fldCharType="begin"/>
      </w:r>
      <w:r>
        <w:instrText xml:space="preserve"> HYPERLINK "mailto:yuyi@xxmu.edu.cn" </w:instrText>
      </w:r>
      <w:r>
        <w:fldChar w:fldCharType="separate"/>
      </w:r>
      <w:r>
        <w:rPr>
          <w:rStyle w:val="7"/>
          <w:rFonts w:ascii="Times New Roman" w:hAnsi="Times New Roman" w:eastAsia="等线" w:cs="Times New Roman"/>
          <w:sz w:val="24"/>
          <w:lang w:bidi="ar"/>
        </w:rPr>
        <w:t>yuyi@xxmu.edu.cn</w:t>
      </w:r>
      <w:r>
        <w:rPr>
          <w:rStyle w:val="7"/>
          <w:rFonts w:ascii="Times New Roman" w:hAnsi="Times New Roman" w:eastAsia="等线" w:cs="Times New Roman"/>
          <w:sz w:val="24"/>
          <w:lang w:bidi="ar"/>
        </w:rPr>
        <w:fldChar w:fldCharType="end"/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 </w:t>
      </w:r>
    </w:p>
    <w:p w14:paraId="0D35CC4D">
      <w:pPr>
        <w:spacing w:line="360" w:lineRule="auto"/>
        <w:ind w:firstLine="960" w:firstLineChars="400"/>
        <w:jc w:val="left"/>
        <w:rPr>
          <w:rStyle w:val="7"/>
          <w:rFonts w:hint="eastAsia" w:ascii="Times New Roman" w:hAnsi="Times New Roman" w:eastAsia="等线" w:cs="Times New Roman"/>
          <w:sz w:val="24"/>
          <w:lang w:bidi="ar"/>
        </w:rPr>
      </w:pP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fldChar w:fldCharType="begin"/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instrText xml:space="preserve"> HYPERLINK "mailto:xhxwh02@163.com" </w:instrText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fldChar w:fldCharType="separate"/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t>xhxwh02@163.com</w:t>
      </w:r>
      <w:r>
        <w:rPr>
          <w:rStyle w:val="7"/>
          <w:rFonts w:hint="eastAsia" w:ascii="Times New Roman" w:hAnsi="Times New Roman" w:eastAsia="等线" w:cs="Times New Roman"/>
          <w:sz w:val="24"/>
          <w:lang w:bidi="ar"/>
        </w:rPr>
        <w:fldChar w:fldCharType="end"/>
      </w:r>
    </w:p>
    <w:p w14:paraId="3FD8C72C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Declaration of Competing Interest：The authors reported no potential conflicts of interest.</w:t>
      </w:r>
    </w:p>
    <w:p w14:paraId="7B4D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S1. The number of components removed by PD and HC in each condition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478C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259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B734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HC</w:t>
            </w:r>
          </w:p>
        </w:tc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80A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PD</w:t>
            </w:r>
          </w:p>
        </w:tc>
        <w:tc>
          <w:tcPr>
            <w:tcW w:w="17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772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</w:t>
            </w:r>
          </w:p>
        </w:tc>
        <w:tc>
          <w:tcPr>
            <w:tcW w:w="17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C66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</w:tr>
      <w:tr w14:paraId="12C2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E8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Rest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9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6.1±1.36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A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7.2±2.35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F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1.842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3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0.074</w:t>
            </w:r>
          </w:p>
        </w:tc>
      </w:tr>
      <w:tr w14:paraId="3E5E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35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Low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2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11.8±3.27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D0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12.5±4.06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D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0.617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7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0.546</w:t>
            </w:r>
          </w:p>
        </w:tc>
      </w:tr>
      <w:tr w14:paraId="00C7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C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Med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DA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12.07±2.82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D2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12.65±3.28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1B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0.612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0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0.540</w:t>
            </w:r>
          </w:p>
        </w:tc>
      </w:tr>
      <w:tr w14:paraId="5B36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492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High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BC0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13.51±3.39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24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13.85±4.42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3F3E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0.277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4D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0.783</w:t>
            </w:r>
          </w:p>
        </w:tc>
      </w:tr>
    </w:tbl>
    <w:p w14:paraId="121BD6F1">
      <w:pPr>
        <w:pStyle w:val="8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9E0F5A8">
      <w:pPr>
        <w:pStyle w:val="8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76850" cy="4053205"/>
            <wp:effectExtent l="0" t="0" r="0" b="444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rcRect l="2758"/>
                    <a:stretch>
                      <a:fillRect/>
                    </a:stretch>
                  </pic:blipFill>
                  <pic:spPr>
                    <a:xfrm>
                      <a:off x="0" y="0"/>
                      <a:ext cx="5291225" cy="40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F5D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igure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ROC curve of microstate parameters in resting</w:t>
      </w:r>
      <w:r>
        <w:rPr>
          <w:rFonts w:hint="eastAsia"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state and VMC tasks for early PD patients: (a) resting</w:t>
      </w:r>
      <w:r>
        <w:rPr>
          <w:rFonts w:hint="eastAsia"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state, (b) low gain, (c) medium gain, and (d) high gain</w:t>
      </w:r>
    </w:p>
    <w:p w14:paraId="74F27680">
      <w:pPr>
        <w:jc w:val="center"/>
        <w:rPr>
          <w:rFonts w:ascii="Times New Roman" w:hAnsi="Times New Roman" w:cs="Times New Roman"/>
          <w:sz w:val="24"/>
        </w:rPr>
      </w:pPr>
    </w:p>
    <w:p w14:paraId="16BC6EA9">
      <w:pPr>
        <w:jc w:val="center"/>
        <w:rPr>
          <w:rFonts w:ascii="Times New Roman" w:hAnsi="Times New Roman" w:cs="Times New Roman"/>
          <w:sz w:val="24"/>
        </w:rPr>
      </w:pPr>
    </w:p>
    <w:p w14:paraId="26B4610E">
      <w:pPr>
        <w:jc w:val="center"/>
        <w:rPr>
          <w:rFonts w:ascii="Times New Roman" w:hAnsi="Times New Roman" w:cs="Times New Roman"/>
          <w:sz w:val="24"/>
        </w:rPr>
      </w:pPr>
    </w:p>
    <w:p w14:paraId="13C4DFEC">
      <w:pPr>
        <w:jc w:val="center"/>
        <w:rPr>
          <w:rFonts w:ascii="Times New Roman" w:hAnsi="Times New Roman" w:cs="Times New Roman"/>
          <w:sz w:val="24"/>
        </w:rPr>
      </w:pPr>
    </w:p>
    <w:p w14:paraId="5E891ECE">
      <w:pPr>
        <w:jc w:val="center"/>
        <w:rPr>
          <w:rFonts w:ascii="Times New Roman" w:hAnsi="Times New Roman" w:cs="Times New Roman"/>
          <w:sz w:val="24"/>
        </w:rPr>
      </w:pPr>
    </w:p>
    <w:p w14:paraId="4DE7FE5E">
      <w:pPr>
        <w:jc w:val="center"/>
        <w:rPr>
          <w:rFonts w:ascii="Times New Roman" w:hAnsi="Times New Roman" w:cs="Times New Roman"/>
          <w:sz w:val="24"/>
        </w:rPr>
      </w:pPr>
    </w:p>
    <w:p w14:paraId="67CB94F3">
      <w:pPr>
        <w:jc w:val="center"/>
        <w:rPr>
          <w:rFonts w:ascii="Times New Roman" w:hAnsi="Times New Roman" w:cs="Times New Roman"/>
          <w:sz w:val="24"/>
        </w:rPr>
      </w:pPr>
    </w:p>
    <w:p w14:paraId="06E76D82">
      <w:pPr>
        <w:jc w:val="center"/>
        <w:rPr>
          <w:rFonts w:ascii="Times New Roman" w:hAnsi="Times New Roman" w:cs="Times New Roman"/>
          <w:sz w:val="24"/>
        </w:rPr>
      </w:pPr>
    </w:p>
    <w:p w14:paraId="581927B5">
      <w:pPr>
        <w:jc w:val="center"/>
        <w:rPr>
          <w:rFonts w:ascii="Times New Roman" w:hAnsi="Times New Roman" w:cs="Times New Roman"/>
          <w:sz w:val="24"/>
        </w:rPr>
      </w:pPr>
    </w:p>
    <w:p w14:paraId="3E8B687E">
      <w:pPr>
        <w:jc w:val="center"/>
        <w:rPr>
          <w:rFonts w:ascii="Times New Roman" w:hAnsi="Times New Roman" w:cs="Times New Roman"/>
          <w:sz w:val="24"/>
        </w:rPr>
      </w:pPr>
    </w:p>
    <w:p w14:paraId="4C985976">
      <w:pPr>
        <w:jc w:val="center"/>
        <w:rPr>
          <w:rFonts w:ascii="Times New Roman" w:hAnsi="Times New Roman" w:cs="Times New Roman"/>
          <w:sz w:val="24"/>
        </w:rPr>
      </w:pPr>
    </w:p>
    <w:p w14:paraId="04B3588C">
      <w:pPr>
        <w:jc w:val="center"/>
        <w:rPr>
          <w:rFonts w:ascii="Times New Roman" w:hAnsi="Times New Roman" w:cs="Times New Roman"/>
          <w:sz w:val="24"/>
        </w:rPr>
      </w:pPr>
    </w:p>
    <w:p w14:paraId="1F9A39B8">
      <w:pPr>
        <w:jc w:val="center"/>
      </w:pPr>
      <w:r>
        <w:rPr>
          <w:rFonts w:hint="eastAsia"/>
        </w:rPr>
        <w:drawing>
          <wp:inline distT="0" distB="0" distL="114300" distR="114300">
            <wp:extent cx="5283200" cy="4297680"/>
            <wp:effectExtent l="0" t="0" r="0" b="762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3857" cy="430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59A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igure S</w:t>
      </w:r>
      <w:r>
        <w:rPr>
          <w:rFonts w:ascii="Times New Roman" w:hAnsi="Times New Roman" w:cs="Times New Roman"/>
          <w:sz w:val="24"/>
        </w:rPr>
        <w:t>2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ROC curve of grip strength parameters in VMC tasks for early PD patients: (a) low gain, (b) medium gain, (c) high gain</w:t>
      </w:r>
    </w:p>
    <w:p w14:paraId="3C0F2AA2">
      <w:pPr>
        <w:jc w:val="center"/>
        <w:rPr>
          <w:rFonts w:ascii="Times New Roman" w:hAnsi="Times New Roman" w:cs="Times New Roman"/>
          <w:sz w:val="24"/>
        </w:rPr>
      </w:pPr>
    </w:p>
    <w:p w14:paraId="2A0BD4F3">
      <w:pPr>
        <w:jc w:val="center"/>
        <w:rPr>
          <w:rFonts w:ascii="Times New Roman" w:hAnsi="Times New Roman" w:cs="Times New Roman"/>
          <w:sz w:val="24"/>
        </w:rPr>
      </w:pPr>
    </w:p>
    <w:p w14:paraId="28893099">
      <w:pPr>
        <w:jc w:val="center"/>
      </w:pPr>
      <w:r>
        <w:rPr>
          <w:rFonts w:hint="eastAsia"/>
        </w:rPr>
        <w:drawing>
          <wp:inline distT="0" distB="0" distL="114300" distR="114300">
            <wp:extent cx="5271135" cy="4063365"/>
            <wp:effectExtent l="0" t="0" r="5715" b="0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4907" cy="407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89C7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igure S</w:t>
      </w:r>
      <w:r>
        <w:rPr>
          <w:rFonts w:ascii="Times New Roman" w:hAnsi="Times New Roman" w:cs="Times New Roman"/>
          <w:sz w:val="24"/>
        </w:rPr>
        <w:t>3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ROC curve of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multidimensional parameters in VMC tasks for early PD patient: (a) low gain, (b) medium gain, (c) high gain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2A7804"/>
    <w:multiLevelType w:val="singleLevel"/>
    <w:tmpl w:val="762A7804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16"/>
    <w:rsid w:val="001D680B"/>
    <w:rsid w:val="003652DC"/>
    <w:rsid w:val="007A14FA"/>
    <w:rsid w:val="007E0B4B"/>
    <w:rsid w:val="00930F18"/>
    <w:rsid w:val="00AE4A16"/>
    <w:rsid w:val="14E74ADB"/>
    <w:rsid w:val="156E416E"/>
    <w:rsid w:val="3C6C53B5"/>
    <w:rsid w:val="44DF5A55"/>
    <w:rsid w:val="543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书目2"/>
    <w:next w:val="1"/>
    <w:unhideWhenUsed/>
    <w:qFormat/>
    <w:uiPriority w:val="37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236</Words>
  <Characters>1459</Characters>
  <Lines>3</Lines>
  <Paragraphs>1</Paragraphs>
  <TotalTime>0</TotalTime>
  <ScaleCrop>false</ScaleCrop>
  <LinksUpToDate>false</LinksUpToDate>
  <CharactersWithSpaces>1679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2025-02-25T01:26:00Z</dcterms:created>
  <dc:creator>Administrator</dc:creator>
  <cp:lastModifiedBy>夜尽天明星魂散</cp:lastModifiedBy>
  <dcterms:modified xsi:type="dcterms:W3CDTF">2025-12-07T05:48:28Z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eyJoZGlkIjoiZTljZDMxNjA3ZDc5MzQ3MGM5YTJmMThiMDhhMTdhZjkiLCJ1c2VySWQiOiIyMzM1Mzk3ODAifQ==</vt:lpwstr>
  </property>
  <property fmtid="{D5CDD505-2E9C-101B-9397-08002B2CF9AE}" pid="4" name="ICV">
    <vt:lpwstr>4CD2410E9B09473A9E7B6BF1523390DE_12</vt:lpwstr>
  </property>
</Properties>
</file>